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ACCB595"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14785">
        <w:t>101</w:t>
      </w:r>
      <w:r w:rsidR="00AB2108">
        <w:t>bis</w:t>
      </w:r>
      <w:r w:rsidR="00A14D3F">
        <w:t>-e</w:t>
      </w:r>
      <w:r>
        <w:tab/>
      </w:r>
      <w:r w:rsidR="00D46431">
        <w:tab/>
      </w:r>
      <w:r w:rsidR="00323E12" w:rsidRPr="00323E12">
        <w:t>R4-2</w:t>
      </w:r>
      <w:r w:rsidR="00AB2108">
        <w:t>2</w:t>
      </w:r>
      <w:r w:rsidR="00B05322">
        <w:t>00908</w:t>
      </w:r>
    </w:p>
    <w:p w14:paraId="50DC9730" w14:textId="70BFFB5A" w:rsidR="00D309CC" w:rsidRPr="00FD166F" w:rsidRDefault="00AB2108" w:rsidP="00D46431">
      <w:pPr>
        <w:pStyle w:val="CH"/>
        <w:tabs>
          <w:tab w:val="clear" w:pos="7920"/>
        </w:tabs>
        <w:rPr>
          <w:b w:val="0"/>
        </w:rPr>
      </w:pPr>
      <w:r>
        <w:t>Online</w:t>
      </w:r>
      <w:r w:rsidRPr="00EC4847">
        <w:t xml:space="preserve">, </w:t>
      </w:r>
      <w:r>
        <w:t>January</w:t>
      </w:r>
      <w:r w:rsidRPr="00A14D3F">
        <w:t xml:space="preserve"> </w:t>
      </w:r>
      <w:r>
        <w:t>17</w:t>
      </w:r>
      <w:r>
        <w:rPr>
          <w:vertAlign w:val="superscript"/>
        </w:rPr>
        <w:t>th</w:t>
      </w:r>
      <w:r w:rsidRPr="00A14D3F">
        <w:t xml:space="preserve"> – </w:t>
      </w:r>
      <w:r>
        <w:t>25</w:t>
      </w:r>
      <w:r w:rsidRPr="00A14D3F">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52B3A316" w:rsidR="00D309CC" w:rsidRPr="0008103A" w:rsidRDefault="00D309CC" w:rsidP="00D309CC">
      <w:pPr>
        <w:pStyle w:val="CH"/>
        <w:rPr>
          <w:b w:val="0"/>
        </w:rPr>
      </w:pPr>
      <w:r w:rsidRPr="0008103A">
        <w:t>Agenda item:</w:t>
      </w:r>
      <w:r>
        <w:tab/>
      </w:r>
      <w:r w:rsidR="00AB2108">
        <w:t>5.36.2</w:t>
      </w:r>
    </w:p>
    <w:p w14:paraId="4DBE005A" w14:textId="1173AC5D" w:rsidR="00D309CC" w:rsidRPr="0008103A" w:rsidRDefault="00D309CC" w:rsidP="00D309CC">
      <w:pPr>
        <w:pStyle w:val="CH"/>
        <w:rPr>
          <w:b w:val="0"/>
        </w:rPr>
      </w:pPr>
      <w:r>
        <w:t>Source:</w:t>
      </w:r>
      <w:r>
        <w:tab/>
        <w:t>Apple</w:t>
      </w:r>
    </w:p>
    <w:p w14:paraId="0D2061A1" w14:textId="19E82EE0" w:rsidR="00D309CC" w:rsidRDefault="00D309CC" w:rsidP="00D309CC">
      <w:pPr>
        <w:pStyle w:val="CH"/>
      </w:pPr>
      <w:r w:rsidRPr="0008103A">
        <w:t>Title:</w:t>
      </w:r>
      <w:r w:rsidRPr="0008103A">
        <w:tab/>
      </w:r>
      <w:r w:rsidR="000D3A0E">
        <w:t xml:space="preserve">Hybrid duplex </w:t>
      </w:r>
      <w:r w:rsidR="005637A5">
        <w:t>operation for PC2 FDD bands</w:t>
      </w:r>
      <w:r w:rsidR="00AC0150">
        <w:t xml:space="preserve"> </w:t>
      </w:r>
    </w:p>
    <w:p w14:paraId="052B1E0C" w14:textId="265DBC8C" w:rsidR="00104BC6" w:rsidRDefault="00104BC6" w:rsidP="00D309CC">
      <w:pPr>
        <w:pStyle w:val="CH"/>
      </w:pPr>
      <w:r>
        <w:t>WI/SI:</w:t>
      </w:r>
      <w:r>
        <w:tab/>
      </w:r>
      <w:r w:rsidR="00614785" w:rsidRPr="00614785">
        <w:rPr>
          <w:lang w:val="en-US"/>
        </w:rPr>
        <w:t>NR_PC2_UE_FDD-Core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5794307" w:rsidR="00D309CC" w:rsidRDefault="00D309CC" w:rsidP="00D309CC">
      <w:pPr>
        <w:pStyle w:val="CH"/>
      </w:pPr>
      <w:r>
        <w:t>Document for:</w:t>
      </w:r>
      <w:r>
        <w:tab/>
      </w:r>
      <w:r w:rsidR="00DB0C4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7D4CA379" w14:textId="32A3E9EC" w:rsidR="005D7A77" w:rsidRDefault="00AB2108" w:rsidP="005D7A77">
      <w:pPr>
        <w:spacing w:after="120"/>
        <w:jc w:val="both"/>
        <w:rPr>
          <w:rFonts w:ascii="Arial" w:hAnsi="Arial" w:cs="Arial"/>
        </w:rPr>
      </w:pPr>
      <w:r>
        <w:rPr>
          <w:rFonts w:ascii="Arial" w:hAnsi="Arial" w:cs="Arial"/>
        </w:rPr>
        <w:t xml:space="preserve">In RAN #93-e meeting, </w:t>
      </w:r>
      <w:r w:rsidR="00F34351">
        <w:rPr>
          <w:rFonts w:ascii="Arial" w:hAnsi="Arial" w:cs="Arial"/>
        </w:rPr>
        <w:t>a new work item on high power UE (power class 2) for FDD band was approved</w:t>
      </w:r>
      <w:r>
        <w:rPr>
          <w:rFonts w:ascii="Arial" w:hAnsi="Arial" w:cs="Arial"/>
        </w:rPr>
        <w:t xml:space="preserve"> </w:t>
      </w:r>
      <w:r w:rsidR="00F34351">
        <w:rPr>
          <w:rFonts w:ascii="Arial" w:hAnsi="Arial" w:cs="Arial"/>
        </w:rPr>
        <w:t>[</w:t>
      </w:r>
      <w:r>
        <w:rPr>
          <w:rFonts w:ascii="Arial" w:hAnsi="Arial" w:cs="Arial"/>
        </w:rPr>
        <w:t>1</w:t>
      </w:r>
      <w:r w:rsidR="00F34351">
        <w:rPr>
          <w:rFonts w:ascii="Arial" w:hAnsi="Arial" w:cs="Arial"/>
        </w:rPr>
        <w:t>]</w:t>
      </w:r>
      <w:r w:rsidR="005023B7">
        <w:rPr>
          <w:rFonts w:ascii="Arial" w:hAnsi="Arial" w:cs="Arial"/>
        </w:rPr>
        <w:t>.</w:t>
      </w:r>
      <w:r w:rsidR="005C06DD">
        <w:rPr>
          <w:rFonts w:ascii="Arial" w:hAnsi="Arial" w:cs="Arial"/>
        </w:rPr>
        <w:t xml:space="preserve"> Apart from the desire on extending the cell coverage area via increasing the UE transmit power, the main justification of the WID is to improve the uplink </w:t>
      </w:r>
      <w:r w:rsidR="00BC6214">
        <w:rPr>
          <w:rFonts w:ascii="Arial" w:hAnsi="Arial" w:cs="Arial"/>
        </w:rPr>
        <w:t xml:space="preserve">(UL) </w:t>
      </w:r>
      <w:r w:rsidR="005C06DD">
        <w:rPr>
          <w:rFonts w:ascii="Arial" w:hAnsi="Arial" w:cs="Arial"/>
        </w:rPr>
        <w:t xml:space="preserve">data rate in FDD bands by </w:t>
      </w:r>
      <w:r w:rsidR="00BC6214">
        <w:rPr>
          <w:rFonts w:ascii="Arial" w:hAnsi="Arial" w:cs="Arial"/>
        </w:rPr>
        <w:t xml:space="preserve">proportionally increasing the UL resource allocation with raising UE transmit power to maintain the same power spectral density (PSD) or SNR at gNB receiver under the same cell </w:t>
      </w:r>
      <w:r w:rsidR="00677B6B">
        <w:rPr>
          <w:rFonts w:ascii="Arial" w:hAnsi="Arial" w:cs="Arial"/>
        </w:rPr>
        <w:t xml:space="preserve">coverage </w:t>
      </w:r>
      <w:r w:rsidR="00BC6214">
        <w:rPr>
          <w:rFonts w:ascii="Arial" w:hAnsi="Arial" w:cs="Arial"/>
        </w:rPr>
        <w:t xml:space="preserve">range. However, </w:t>
      </w:r>
      <w:r w:rsidR="001C248C">
        <w:rPr>
          <w:rFonts w:ascii="Arial" w:hAnsi="Arial" w:cs="Arial"/>
        </w:rPr>
        <w:t>for FDD bands with narrow duplex gap such as n3, it would not be feasible to increase UL resource allocation without impacting the REFSENS</w:t>
      </w:r>
      <w:r w:rsidR="00677B6B">
        <w:rPr>
          <w:rFonts w:ascii="Arial" w:hAnsi="Arial" w:cs="Arial"/>
        </w:rPr>
        <w:t xml:space="preserve"> when UE channel bandwidth is wider than 10 MHz. Therefore, for certain FDD bands, running HPUE </w:t>
      </w:r>
      <w:r w:rsidR="008211F3">
        <w:rPr>
          <w:rFonts w:ascii="Arial" w:hAnsi="Arial" w:cs="Arial"/>
        </w:rPr>
        <w:t>to hopefully improve the UL data rate could be a diminishing return. On the other hand, the SAR regulation would also require UE UL duty cycle to be no more than 50% to permit PC2 maximum output power transmission</w:t>
      </w:r>
      <w:r w:rsidR="008467C4">
        <w:rPr>
          <w:rFonts w:ascii="Arial" w:hAnsi="Arial" w:cs="Arial"/>
        </w:rPr>
        <w:t xml:space="preserve"> which would effectively offset the increase in UL resource allocation and null</w:t>
      </w:r>
      <w:r w:rsidR="005D7A77">
        <w:rPr>
          <w:rFonts w:ascii="Arial" w:hAnsi="Arial" w:cs="Arial"/>
        </w:rPr>
        <w:t>ify</w:t>
      </w:r>
      <w:r w:rsidR="008467C4">
        <w:rPr>
          <w:rFonts w:ascii="Arial" w:hAnsi="Arial" w:cs="Arial"/>
        </w:rPr>
        <w:t xml:space="preserve"> the single user UL data rate gain.</w:t>
      </w:r>
    </w:p>
    <w:p w14:paraId="27AC2329" w14:textId="77777777" w:rsidR="005D7A77" w:rsidRDefault="005D7A77" w:rsidP="005D7A77">
      <w:pPr>
        <w:spacing w:after="0"/>
        <w:jc w:val="both"/>
        <w:rPr>
          <w:rFonts w:ascii="Arial" w:hAnsi="Arial" w:cs="Arial"/>
        </w:rPr>
      </w:pPr>
    </w:p>
    <w:p w14:paraId="06E92CC7" w14:textId="4AF73D35" w:rsidR="008E7986" w:rsidRPr="00A75621" w:rsidRDefault="005D7A77" w:rsidP="005D7A77">
      <w:pPr>
        <w:spacing w:after="120"/>
        <w:jc w:val="both"/>
        <w:rPr>
          <w:rFonts w:ascii="Arial" w:hAnsi="Arial" w:cs="Arial"/>
        </w:rPr>
      </w:pPr>
      <w:r>
        <w:rPr>
          <w:rFonts w:ascii="Arial" w:hAnsi="Arial" w:cs="Arial"/>
        </w:rPr>
        <w:t>In contrast to the nominal full-duplex</w:t>
      </w:r>
      <w:r w:rsidR="009D2788">
        <w:rPr>
          <w:rFonts w:ascii="Arial" w:hAnsi="Arial" w:cs="Arial"/>
        </w:rPr>
        <w:t xml:space="preserve"> </w:t>
      </w:r>
      <w:r>
        <w:rPr>
          <w:rFonts w:ascii="Arial" w:hAnsi="Arial" w:cs="Arial"/>
        </w:rPr>
        <w:t>operation in FDD bands, the half-duplex operation in HPUE domain as proposed in [</w:t>
      </w:r>
      <w:r w:rsidR="00AB2108">
        <w:rPr>
          <w:rFonts w:ascii="Arial" w:hAnsi="Arial" w:cs="Arial"/>
        </w:rPr>
        <w:t>3-4</w:t>
      </w:r>
      <w:r>
        <w:rPr>
          <w:rFonts w:ascii="Arial" w:hAnsi="Arial" w:cs="Arial"/>
        </w:rPr>
        <w:t>]</w:t>
      </w:r>
      <w:r w:rsidR="00F263A3">
        <w:rPr>
          <w:rFonts w:ascii="Arial" w:hAnsi="Arial" w:cs="Arial"/>
        </w:rPr>
        <w:t xml:space="preserve"> may benefit certain FDD bands in view of SAR and MSD mitigation where full UL </w:t>
      </w:r>
      <w:r w:rsidR="009D2788">
        <w:rPr>
          <w:rFonts w:ascii="Arial" w:hAnsi="Arial" w:cs="Arial"/>
        </w:rPr>
        <w:t xml:space="preserve">RB </w:t>
      </w:r>
      <w:r w:rsidR="00F263A3">
        <w:rPr>
          <w:rFonts w:ascii="Arial" w:hAnsi="Arial" w:cs="Arial"/>
        </w:rPr>
        <w:t xml:space="preserve">allocation can be transmitted in a short time burst to save </w:t>
      </w:r>
      <w:r w:rsidR="009D2788">
        <w:rPr>
          <w:rFonts w:ascii="Arial" w:hAnsi="Arial" w:cs="Arial"/>
        </w:rPr>
        <w:t xml:space="preserve">more </w:t>
      </w:r>
      <w:r w:rsidR="006F6B6E">
        <w:rPr>
          <w:rFonts w:ascii="Arial" w:hAnsi="Arial" w:cs="Arial"/>
        </w:rPr>
        <w:t xml:space="preserve">UL </w:t>
      </w:r>
      <w:r w:rsidR="00F263A3">
        <w:rPr>
          <w:rFonts w:ascii="Arial" w:hAnsi="Arial" w:cs="Arial"/>
        </w:rPr>
        <w:t xml:space="preserve">power consumption </w:t>
      </w:r>
      <w:r w:rsidR="009D2788" w:rsidRPr="009D2788">
        <w:rPr>
          <w:rFonts w:ascii="Arial" w:hAnsi="Arial" w:cs="Arial"/>
        </w:rPr>
        <w:t>as compared to full duplex operation under high UL transmission power</w:t>
      </w:r>
      <w:r w:rsidR="00123CFF">
        <w:rPr>
          <w:rFonts w:ascii="Arial" w:hAnsi="Arial" w:cs="Arial"/>
        </w:rPr>
        <w:t xml:space="preserve"> where UL RB number restriction would cause longer UL transmission time</w:t>
      </w:r>
      <w:r w:rsidR="001F1C5E" w:rsidRPr="009D2788">
        <w:rPr>
          <w:rFonts w:ascii="Arial" w:hAnsi="Arial" w:cs="Arial"/>
        </w:rPr>
        <w:t>.</w:t>
      </w:r>
      <w:r w:rsidR="001F1C5E">
        <w:rPr>
          <w:rFonts w:ascii="Arial" w:hAnsi="Arial" w:cs="Arial"/>
        </w:rPr>
        <w:t xml:space="preserve"> In this contribution, we propose to introduce an optional UE feature to support </w:t>
      </w:r>
      <w:r w:rsidR="006A7991">
        <w:rPr>
          <w:rFonts w:ascii="Arial" w:hAnsi="Arial" w:cs="Arial"/>
        </w:rPr>
        <w:t xml:space="preserve">full-duplex and half-duplex switchable </w:t>
      </w:r>
      <w:r w:rsidR="001F1C5E">
        <w:rPr>
          <w:rFonts w:ascii="Arial" w:hAnsi="Arial" w:cs="Arial"/>
        </w:rPr>
        <w:t>hybrid</w:t>
      </w:r>
      <w:r w:rsidR="006A7991">
        <w:rPr>
          <w:rFonts w:ascii="Arial" w:hAnsi="Arial" w:cs="Arial"/>
        </w:rPr>
        <w:t xml:space="preserve"> </w:t>
      </w:r>
      <w:r w:rsidR="001F1C5E">
        <w:rPr>
          <w:rFonts w:ascii="Arial" w:hAnsi="Arial" w:cs="Arial"/>
        </w:rPr>
        <w:t>operation for PC2 FDD bands</w:t>
      </w:r>
      <w:r w:rsidR="00541E89">
        <w:rPr>
          <w:rFonts w:ascii="Arial" w:hAnsi="Arial" w:cs="Arial"/>
        </w:rPr>
        <w:t xml:space="preserve"> to effectively realize the </w:t>
      </w:r>
      <w:r w:rsidR="00BE717C">
        <w:rPr>
          <w:rFonts w:ascii="Arial" w:hAnsi="Arial" w:cs="Arial"/>
        </w:rPr>
        <w:t>UL performance gain for certain FDD bands.</w:t>
      </w:r>
      <w:r w:rsidR="001F1C5E">
        <w:rPr>
          <w:rFonts w:ascii="Arial" w:hAnsi="Arial" w:cs="Arial"/>
        </w:rPr>
        <w:t xml:space="preserve">  </w:t>
      </w:r>
      <w:r w:rsidR="00F263A3">
        <w:rPr>
          <w:rFonts w:ascii="Arial" w:hAnsi="Arial" w:cs="Arial"/>
        </w:rPr>
        <w:t xml:space="preserve"> </w:t>
      </w:r>
      <w:r>
        <w:rPr>
          <w:rFonts w:ascii="Arial" w:hAnsi="Arial" w:cs="Arial"/>
        </w:rPr>
        <w:t xml:space="preserve">   </w:t>
      </w:r>
      <w:r w:rsidR="00AC136C">
        <w:rPr>
          <w:rFonts w:ascii="Arial" w:hAnsi="Arial" w:cs="Arial"/>
        </w:rPr>
        <w:t xml:space="preserve"> </w:t>
      </w:r>
      <w:r w:rsidR="007E69E1">
        <w:rPr>
          <w:rFonts w:ascii="Arial" w:hAnsi="Arial" w:cs="Arial"/>
        </w:rPr>
        <w:t xml:space="preserve"> </w:t>
      </w:r>
      <w:r w:rsidR="00611256">
        <w:rPr>
          <w:rFonts w:ascii="Arial" w:hAnsi="Arial" w:cs="Arial"/>
        </w:rPr>
        <w:t xml:space="preserve"> </w:t>
      </w:r>
      <w:r w:rsidR="009E7903">
        <w:rPr>
          <w:rFonts w:ascii="Arial" w:hAnsi="Arial" w:cs="Arial"/>
        </w:rPr>
        <w:t xml:space="preserve"> </w:t>
      </w:r>
      <w:r w:rsidR="00AD171B">
        <w:rPr>
          <w:rFonts w:ascii="Arial" w:hAnsi="Arial" w:cs="Arial"/>
        </w:rPr>
        <w:t xml:space="preserve">   </w:t>
      </w:r>
      <w:r w:rsidR="00906B51">
        <w:rPr>
          <w:rFonts w:ascii="Arial" w:hAnsi="Arial" w:cs="Arial"/>
        </w:rPr>
        <w:t xml:space="preserve"> </w:t>
      </w:r>
      <w:r w:rsidR="004E4369">
        <w:rPr>
          <w:rFonts w:ascii="Arial" w:hAnsi="Arial" w:cs="Arial"/>
        </w:rPr>
        <w:t xml:space="preserve">  </w:t>
      </w:r>
      <w:r w:rsidR="00314533">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5EF33B50" w14:textId="4988F3B7" w:rsidR="00EC1705" w:rsidRDefault="00B464FD" w:rsidP="007035F0">
      <w:pPr>
        <w:spacing w:after="120"/>
        <w:jc w:val="both"/>
        <w:rPr>
          <w:rFonts w:ascii="Arial" w:hAnsi="Arial" w:cs="Arial"/>
        </w:rPr>
      </w:pPr>
      <w:r>
        <w:rPr>
          <w:rFonts w:ascii="Arial" w:hAnsi="Arial" w:cs="Arial"/>
        </w:rPr>
        <w:t>While the</w:t>
      </w:r>
      <w:r w:rsidR="00902BA5">
        <w:rPr>
          <w:rFonts w:ascii="Arial" w:hAnsi="Arial" w:cs="Arial"/>
        </w:rPr>
        <w:t xml:space="preserve"> new work item</w:t>
      </w:r>
      <w:r>
        <w:rPr>
          <w:rFonts w:ascii="Arial" w:hAnsi="Arial" w:cs="Arial"/>
        </w:rPr>
        <w:t xml:space="preserve"> on high power UE (power class 2) for FDD band was approved in RAN #93-e meeting [</w:t>
      </w:r>
      <w:r w:rsidR="00EC3EDB">
        <w:rPr>
          <w:rFonts w:ascii="Arial" w:hAnsi="Arial" w:cs="Arial"/>
        </w:rPr>
        <w:t>1</w:t>
      </w:r>
      <w:r>
        <w:rPr>
          <w:rFonts w:ascii="Arial" w:hAnsi="Arial" w:cs="Arial"/>
        </w:rPr>
        <w:t xml:space="preserve">] as </w:t>
      </w:r>
      <w:r w:rsidR="00902BA5">
        <w:rPr>
          <w:rFonts w:ascii="Arial" w:hAnsi="Arial" w:cs="Arial"/>
        </w:rPr>
        <w:t>a</w:t>
      </w:r>
      <w:r>
        <w:rPr>
          <w:rFonts w:ascii="Arial" w:hAnsi="Arial" w:cs="Arial"/>
        </w:rPr>
        <w:t xml:space="preserve"> continuation on the </w:t>
      </w:r>
      <w:r w:rsidR="00902BA5">
        <w:rPr>
          <w:rFonts w:ascii="Arial" w:hAnsi="Arial" w:cs="Arial"/>
        </w:rPr>
        <w:t xml:space="preserve">preceding </w:t>
      </w:r>
      <w:r>
        <w:rPr>
          <w:rFonts w:ascii="Arial" w:hAnsi="Arial" w:cs="Arial"/>
        </w:rPr>
        <w:t xml:space="preserve">closed </w:t>
      </w:r>
      <w:r w:rsidR="00902BA5">
        <w:rPr>
          <w:rFonts w:ascii="Arial" w:hAnsi="Arial" w:cs="Arial"/>
        </w:rPr>
        <w:t>study item (SI)</w:t>
      </w:r>
      <w:r>
        <w:rPr>
          <w:rFonts w:ascii="Arial" w:hAnsi="Arial" w:cs="Arial"/>
        </w:rPr>
        <w:t xml:space="preserve"> [</w:t>
      </w:r>
      <w:r w:rsidR="00EC3EDB">
        <w:rPr>
          <w:rFonts w:ascii="Arial" w:hAnsi="Arial" w:cs="Arial"/>
        </w:rPr>
        <w:t>2</w:t>
      </w:r>
      <w:r>
        <w:rPr>
          <w:rFonts w:ascii="Arial" w:hAnsi="Arial" w:cs="Arial"/>
        </w:rPr>
        <w:t>], in our view</w:t>
      </w:r>
      <w:r w:rsidR="00902BA5">
        <w:rPr>
          <w:rFonts w:ascii="Arial" w:hAnsi="Arial" w:cs="Arial"/>
        </w:rPr>
        <w:t>, the SI was c</w:t>
      </w:r>
      <w:r w:rsidR="00D22E18">
        <w:rPr>
          <w:rFonts w:ascii="Arial" w:hAnsi="Arial" w:cs="Arial"/>
        </w:rPr>
        <w:t>oncluded</w:t>
      </w:r>
      <w:r w:rsidR="00902BA5">
        <w:rPr>
          <w:rFonts w:ascii="Arial" w:hAnsi="Arial" w:cs="Arial"/>
        </w:rPr>
        <w:t xml:space="preserve"> with </w:t>
      </w:r>
      <w:r w:rsidR="00E7501B">
        <w:rPr>
          <w:rFonts w:ascii="Arial" w:hAnsi="Arial" w:cs="Arial"/>
        </w:rPr>
        <w:t xml:space="preserve">still </w:t>
      </w:r>
      <w:r w:rsidR="00902BA5">
        <w:rPr>
          <w:rFonts w:ascii="Arial" w:hAnsi="Arial" w:cs="Arial"/>
        </w:rPr>
        <w:t>many remaining open issues</w:t>
      </w:r>
      <w:r w:rsidR="00D22E18">
        <w:rPr>
          <w:rFonts w:ascii="Arial" w:hAnsi="Arial" w:cs="Arial"/>
        </w:rPr>
        <w:t>. For e</w:t>
      </w:r>
      <w:r w:rsidR="00E7501B">
        <w:rPr>
          <w:rFonts w:ascii="Arial" w:hAnsi="Arial" w:cs="Arial"/>
        </w:rPr>
        <w:t>x</w:t>
      </w:r>
      <w:r w:rsidR="00D22E18">
        <w:rPr>
          <w:rFonts w:ascii="Arial" w:hAnsi="Arial" w:cs="Arial"/>
        </w:rPr>
        <w:t>ample, how the UE implementation-based method for SAR compliance such as P-MPR can achieve the PC2 maximum output power at 26 dBm has not been clarified. On the other hand,</w:t>
      </w:r>
      <w:r w:rsidR="00E7501B">
        <w:rPr>
          <w:rFonts w:ascii="Arial" w:hAnsi="Arial" w:cs="Arial"/>
        </w:rPr>
        <w:t xml:space="preserve"> for FDD bands with narrow duplex gap such as n3, the REFSENS impact without UL RB restriction was also not addressed.</w:t>
      </w:r>
      <w:r w:rsidR="000C42A2">
        <w:rPr>
          <w:rFonts w:ascii="Arial" w:hAnsi="Arial" w:cs="Arial"/>
        </w:rPr>
        <w:t xml:space="preserve"> These two open issues can be the impediment hindering the realization of performance gain for PC2 FDD bands. On the contrary, TDD-band </w:t>
      </w:r>
      <w:r w:rsidR="003027FC">
        <w:rPr>
          <w:rFonts w:ascii="Arial" w:hAnsi="Arial" w:cs="Arial"/>
        </w:rPr>
        <w:t xml:space="preserve">like half-duplex operation with duty-cycled UL can not only mitigate the SAR issue, but also avoid REFSENS impact in any channel BW and UL configuration which is also the </w:t>
      </w:r>
      <w:r w:rsidR="00F177D8">
        <w:rPr>
          <w:rFonts w:ascii="Arial" w:hAnsi="Arial" w:cs="Arial"/>
        </w:rPr>
        <w:t xml:space="preserve">reason </w:t>
      </w:r>
      <w:r w:rsidR="00B4405C" w:rsidRPr="00B4405C">
        <w:rPr>
          <w:rFonts w:ascii="Arial" w:hAnsi="Arial" w:cs="Arial"/>
          <w:lang w:val="en-US"/>
        </w:rPr>
        <w:t>why HPUE can be smoothly and successfully introduced for TDD bands</w:t>
      </w:r>
      <w:r w:rsidR="00B4405C">
        <w:rPr>
          <w:rFonts w:ascii="Arial" w:hAnsi="Arial" w:cs="Arial"/>
          <w:lang w:val="en-US"/>
        </w:rPr>
        <w:t>.</w:t>
      </w:r>
    </w:p>
    <w:p w14:paraId="363AE1F9" w14:textId="77777777" w:rsidR="00EC1705" w:rsidRDefault="00EC1705" w:rsidP="00EC1705">
      <w:pPr>
        <w:spacing w:after="0"/>
        <w:jc w:val="both"/>
        <w:rPr>
          <w:rFonts w:ascii="Arial" w:hAnsi="Arial" w:cs="Arial"/>
        </w:rPr>
      </w:pPr>
    </w:p>
    <w:p w14:paraId="076A38DD" w14:textId="095EE20A" w:rsidR="00EC1705" w:rsidRDefault="00EC1705" w:rsidP="00EC1705">
      <w:pPr>
        <w:pStyle w:val="Heading2"/>
      </w:pPr>
      <w:r>
        <w:t>2.1</w:t>
      </w:r>
      <w:r>
        <w:tab/>
        <w:t>SAR mitigation</w:t>
      </w:r>
    </w:p>
    <w:p w14:paraId="475F0224" w14:textId="77777777" w:rsidR="00EC1705" w:rsidRDefault="00EC1705" w:rsidP="00EC1705">
      <w:pPr>
        <w:spacing w:after="0"/>
        <w:jc w:val="both"/>
        <w:rPr>
          <w:rFonts w:ascii="Arial" w:hAnsi="Arial" w:cs="Arial"/>
        </w:rPr>
      </w:pPr>
    </w:p>
    <w:p w14:paraId="72504E80" w14:textId="30C786B4" w:rsidR="004A5F6D" w:rsidRPr="004A5F6D" w:rsidRDefault="00B4405C" w:rsidP="00B4405C">
      <w:pPr>
        <w:spacing w:after="120"/>
        <w:jc w:val="both"/>
        <w:rPr>
          <w:rFonts w:ascii="Arial" w:hAnsi="Arial" w:cs="Arial"/>
        </w:rPr>
      </w:pPr>
      <w:r>
        <w:rPr>
          <w:rFonts w:ascii="Arial" w:hAnsi="Arial" w:cs="Arial"/>
        </w:rPr>
        <w:t xml:space="preserve">For </w:t>
      </w:r>
      <w:r w:rsidR="00C67E71">
        <w:rPr>
          <w:rFonts w:ascii="Arial" w:hAnsi="Arial" w:cs="Arial"/>
        </w:rPr>
        <w:t xml:space="preserve">PC2 </w:t>
      </w:r>
      <w:r>
        <w:rPr>
          <w:rFonts w:ascii="Arial" w:hAnsi="Arial" w:cs="Arial"/>
        </w:rPr>
        <w:t xml:space="preserve">FDD bands, if the concept of UL duty cycle was not introduced, the UE implementation-based </w:t>
      </w:r>
      <w:r w:rsidR="00891AE5">
        <w:rPr>
          <w:rFonts w:ascii="Arial" w:hAnsi="Arial" w:cs="Arial"/>
        </w:rPr>
        <w:t xml:space="preserve">method for SAR compliance may always assume UL transmission is contiguous and P-MPR is applied whenever the Tx output power exceeds 23 dBm. As a result, HPUE cannot be </w:t>
      </w:r>
      <w:r w:rsidR="00CF285A">
        <w:rPr>
          <w:rFonts w:ascii="Arial" w:hAnsi="Arial" w:cs="Arial"/>
        </w:rPr>
        <w:t xml:space="preserve">practically </w:t>
      </w:r>
      <w:r w:rsidR="00891AE5">
        <w:rPr>
          <w:rFonts w:ascii="Arial" w:hAnsi="Arial" w:cs="Arial"/>
        </w:rPr>
        <w:t>realized</w:t>
      </w:r>
      <w:r w:rsidR="00CF285A">
        <w:rPr>
          <w:rFonts w:ascii="Arial" w:hAnsi="Arial" w:cs="Arial"/>
        </w:rPr>
        <w:t xml:space="preserve">. </w:t>
      </w:r>
      <w:r w:rsidR="00F42008">
        <w:rPr>
          <w:rFonts w:ascii="Arial" w:hAnsi="Arial" w:cs="Arial"/>
        </w:rPr>
        <w:t>In this situation, the UE UL power efficiency would be degraded due to the use of PC2 PA for PC3 operation.</w:t>
      </w:r>
      <w:r w:rsidR="00CF285A">
        <w:rPr>
          <w:rFonts w:ascii="Arial" w:hAnsi="Arial" w:cs="Arial"/>
        </w:rPr>
        <w:t xml:space="preserve"> </w:t>
      </w:r>
      <w:r w:rsidR="00891AE5">
        <w:rPr>
          <w:rFonts w:ascii="Arial" w:hAnsi="Arial" w:cs="Arial"/>
        </w:rPr>
        <w:t xml:space="preserve">   </w:t>
      </w:r>
      <w:r>
        <w:rPr>
          <w:rFonts w:ascii="Arial" w:hAnsi="Arial" w:cs="Arial"/>
        </w:rPr>
        <w:t xml:space="preserve"> </w:t>
      </w:r>
      <w:r w:rsidR="007035F0">
        <w:rPr>
          <w:rFonts w:ascii="Arial" w:hAnsi="Arial" w:cs="Arial"/>
        </w:rPr>
        <w:t xml:space="preserve"> </w:t>
      </w:r>
    </w:p>
    <w:p w14:paraId="703CAA59" w14:textId="61D620CF" w:rsidR="004A5F6D" w:rsidRDefault="004A5F6D" w:rsidP="00C67E71">
      <w:pPr>
        <w:spacing w:after="120"/>
        <w:jc w:val="both"/>
        <w:rPr>
          <w:rFonts w:ascii="Arial" w:hAnsi="Arial" w:cs="Arial"/>
          <w:i/>
          <w:iCs/>
        </w:rPr>
      </w:pPr>
    </w:p>
    <w:p w14:paraId="6EB59A9C" w14:textId="262DE86D" w:rsidR="00C67E71" w:rsidRDefault="00C67E71" w:rsidP="00C67E71">
      <w:pPr>
        <w:spacing w:after="120"/>
        <w:jc w:val="both"/>
        <w:rPr>
          <w:rFonts w:ascii="Arial" w:hAnsi="Arial" w:cs="Arial"/>
          <w:i/>
          <w:iCs/>
        </w:rPr>
      </w:pPr>
      <w:r w:rsidRPr="00C67E71">
        <w:rPr>
          <w:rFonts w:ascii="Arial" w:hAnsi="Arial" w:cs="Arial"/>
          <w:b/>
          <w:bCs/>
          <w:i/>
          <w:iCs/>
        </w:rPr>
        <w:lastRenderedPageBreak/>
        <w:t>Observation 1</w:t>
      </w:r>
      <w:r>
        <w:rPr>
          <w:rFonts w:ascii="Arial" w:hAnsi="Arial" w:cs="Arial"/>
          <w:i/>
          <w:iCs/>
        </w:rPr>
        <w:t xml:space="preserve">: </w:t>
      </w:r>
      <w:r w:rsidRPr="00C67E71">
        <w:rPr>
          <w:rFonts w:ascii="Arial" w:hAnsi="Arial" w:cs="Arial"/>
          <w:i/>
          <w:iCs/>
        </w:rPr>
        <w:t>For PC2 FDD bands, the UE implementation-based method for SAR compliance may always assume UL transmission is contiguous and P-MPR is applied whenever the Tx output power exceeds 23 dBm. As a result, HPUE cannot be practically realized.</w:t>
      </w:r>
    </w:p>
    <w:p w14:paraId="4A3A63F4" w14:textId="77777777" w:rsidR="00C67E71" w:rsidRPr="00C67E71" w:rsidRDefault="00C67E71" w:rsidP="00C67E71">
      <w:pPr>
        <w:spacing w:after="0"/>
        <w:jc w:val="both"/>
        <w:rPr>
          <w:rFonts w:ascii="Arial" w:hAnsi="Arial" w:cs="Arial"/>
        </w:rPr>
      </w:pPr>
    </w:p>
    <w:p w14:paraId="2C54DB04" w14:textId="16DD2315" w:rsidR="0073496B" w:rsidRDefault="0073496B" w:rsidP="0073496B">
      <w:pPr>
        <w:pStyle w:val="Heading2"/>
      </w:pPr>
      <w:r>
        <w:t>2.</w:t>
      </w:r>
      <w:r w:rsidR="00C67E71">
        <w:t>2</w:t>
      </w:r>
      <w:r>
        <w:tab/>
        <w:t>REFSENS impact</w:t>
      </w:r>
    </w:p>
    <w:p w14:paraId="0DC71986" w14:textId="2601DBE1" w:rsidR="0073496B" w:rsidRDefault="0073496B" w:rsidP="0073496B">
      <w:pPr>
        <w:spacing w:after="0"/>
        <w:jc w:val="both"/>
        <w:rPr>
          <w:rFonts w:ascii="Arial" w:hAnsi="Arial" w:cs="Arial"/>
        </w:rPr>
      </w:pPr>
    </w:p>
    <w:p w14:paraId="1C8C2D9F" w14:textId="078EF7D8" w:rsidR="005A5605" w:rsidRDefault="0073496B" w:rsidP="00754854">
      <w:pPr>
        <w:spacing w:after="120"/>
        <w:jc w:val="both"/>
        <w:rPr>
          <w:rFonts w:ascii="Arial" w:hAnsi="Arial" w:cs="Arial"/>
        </w:rPr>
      </w:pPr>
      <w:r>
        <w:rPr>
          <w:rFonts w:ascii="Arial" w:hAnsi="Arial" w:cs="Arial"/>
        </w:rPr>
        <w:t xml:space="preserve">In FDD bands, REFSENS is not only affected by the receiver thermal noise </w:t>
      </w:r>
      <w:r w:rsidR="00C67E71">
        <w:rPr>
          <w:rFonts w:ascii="Arial" w:hAnsi="Arial" w:cs="Arial"/>
        </w:rPr>
        <w:t>(noise figure)</w:t>
      </w:r>
      <w:r>
        <w:rPr>
          <w:rFonts w:ascii="Arial" w:hAnsi="Arial" w:cs="Arial"/>
        </w:rPr>
        <w:t xml:space="preserve">, the </w:t>
      </w:r>
      <w:r w:rsidR="00E12A5F">
        <w:rPr>
          <w:rFonts w:ascii="Arial" w:hAnsi="Arial" w:cs="Arial"/>
        </w:rPr>
        <w:t>Tx</w:t>
      </w:r>
      <w:r>
        <w:rPr>
          <w:rFonts w:ascii="Arial" w:hAnsi="Arial" w:cs="Arial"/>
        </w:rPr>
        <w:t xml:space="preserve"> leakage</w:t>
      </w:r>
      <w:r w:rsidR="00AB2108">
        <w:rPr>
          <w:rFonts w:ascii="Arial" w:hAnsi="Arial" w:cs="Arial"/>
        </w:rPr>
        <w:t>s</w:t>
      </w:r>
      <w:r>
        <w:rPr>
          <w:rFonts w:ascii="Arial" w:hAnsi="Arial" w:cs="Arial"/>
        </w:rPr>
        <w:t xml:space="preserve"> also attribute to REFSENS degradation. Increasing UL output power would also increase the </w:t>
      </w:r>
      <w:r w:rsidR="006D14CE">
        <w:rPr>
          <w:rFonts w:ascii="Arial" w:hAnsi="Arial" w:cs="Arial"/>
        </w:rPr>
        <w:t>Tx leakage</w:t>
      </w:r>
      <w:r w:rsidR="00CC4BDD">
        <w:rPr>
          <w:rFonts w:ascii="Arial" w:hAnsi="Arial" w:cs="Arial"/>
        </w:rPr>
        <w:t>s</w:t>
      </w:r>
      <w:r w:rsidR="006D14CE">
        <w:rPr>
          <w:rFonts w:ascii="Arial" w:hAnsi="Arial" w:cs="Arial"/>
        </w:rPr>
        <w:t xml:space="preserve"> into DL band if duplexer isolation </w:t>
      </w:r>
      <w:r w:rsidR="00AB2108">
        <w:rPr>
          <w:rFonts w:ascii="Arial" w:hAnsi="Arial" w:cs="Arial"/>
        </w:rPr>
        <w:t>would</w:t>
      </w:r>
      <w:r w:rsidR="006D14CE">
        <w:rPr>
          <w:rFonts w:ascii="Arial" w:hAnsi="Arial" w:cs="Arial"/>
        </w:rPr>
        <w:t xml:space="preserve"> not </w:t>
      </w:r>
      <w:r w:rsidR="00AB2108">
        <w:rPr>
          <w:rFonts w:ascii="Arial" w:hAnsi="Arial" w:cs="Arial"/>
        </w:rPr>
        <w:t xml:space="preserve">be </w:t>
      </w:r>
      <w:r w:rsidR="006D14CE">
        <w:rPr>
          <w:rFonts w:ascii="Arial" w:hAnsi="Arial" w:cs="Arial"/>
        </w:rPr>
        <w:t xml:space="preserve">improved. On the other hand, the need for higher UL maximum output power normally would mean the UE is close to the cell edge where DL may also be near REFSENS level and </w:t>
      </w:r>
      <w:r w:rsidR="009A4F1E">
        <w:rPr>
          <w:rFonts w:ascii="Arial" w:hAnsi="Arial" w:cs="Arial"/>
        </w:rPr>
        <w:t xml:space="preserve">become </w:t>
      </w:r>
      <w:r w:rsidR="006D14CE">
        <w:rPr>
          <w:rFonts w:ascii="Arial" w:hAnsi="Arial" w:cs="Arial"/>
        </w:rPr>
        <w:t>more vulnerable to the impact from Tx leakage</w:t>
      </w:r>
      <w:r w:rsidR="009810A7">
        <w:rPr>
          <w:rFonts w:ascii="Arial" w:hAnsi="Arial" w:cs="Arial"/>
        </w:rPr>
        <w:t>s</w:t>
      </w:r>
      <w:r w:rsidR="006D14CE">
        <w:rPr>
          <w:rFonts w:ascii="Arial" w:hAnsi="Arial" w:cs="Arial"/>
        </w:rPr>
        <w:t xml:space="preserve">. For FDD bands with narrow duplex </w:t>
      </w:r>
      <w:r w:rsidR="00ED2654">
        <w:rPr>
          <w:rFonts w:ascii="Arial" w:hAnsi="Arial" w:cs="Arial"/>
        </w:rPr>
        <w:t>gap</w:t>
      </w:r>
      <w:r w:rsidR="006D14CE">
        <w:rPr>
          <w:rFonts w:ascii="Arial" w:hAnsi="Arial" w:cs="Arial"/>
        </w:rPr>
        <w:t>, further UL RB allocation restriction may be needed under HPUE operation to prevent REFSENS degradation</w:t>
      </w:r>
      <w:r w:rsidR="001C56BD">
        <w:rPr>
          <w:rFonts w:ascii="Arial" w:hAnsi="Arial" w:cs="Arial"/>
        </w:rPr>
        <w:t xml:space="preserve"> due to</w:t>
      </w:r>
      <w:r w:rsidR="00E12A5F">
        <w:rPr>
          <w:rFonts w:ascii="Arial" w:hAnsi="Arial" w:cs="Arial"/>
        </w:rPr>
        <w:t xml:space="preserve"> the</w:t>
      </w:r>
      <w:r w:rsidR="001C56BD">
        <w:rPr>
          <w:rFonts w:ascii="Arial" w:hAnsi="Arial" w:cs="Arial"/>
        </w:rPr>
        <w:t xml:space="preserve"> Tx spectral spillage caused by intermodulation distortion</w:t>
      </w:r>
      <w:r w:rsidR="00C67E71">
        <w:rPr>
          <w:rFonts w:ascii="Arial" w:hAnsi="Arial" w:cs="Arial"/>
        </w:rPr>
        <w:t>, as exemplified in Table 2.2-1</w:t>
      </w:r>
      <w:r w:rsidR="00AB2108">
        <w:rPr>
          <w:rFonts w:ascii="Arial" w:hAnsi="Arial" w:cs="Arial"/>
        </w:rPr>
        <w:t xml:space="preserve"> where the restricted N</w:t>
      </w:r>
      <w:r w:rsidR="00AB2108" w:rsidRPr="00AB2108">
        <w:rPr>
          <w:rFonts w:ascii="Arial" w:hAnsi="Arial" w:cs="Arial"/>
          <w:vertAlign w:val="subscript"/>
        </w:rPr>
        <w:t>RB_UL</w:t>
      </w:r>
      <w:r w:rsidR="00AB2108" w:rsidRPr="00AB2108">
        <w:rPr>
          <w:rFonts w:ascii="Arial" w:hAnsi="Arial" w:cs="Arial"/>
        </w:rPr>
        <w:t xml:space="preserve"> </w:t>
      </w:r>
      <w:r w:rsidR="00AB2108">
        <w:rPr>
          <w:rFonts w:ascii="Arial" w:hAnsi="Arial" w:cs="Arial"/>
        </w:rPr>
        <w:t>is highlighted in blue color</w:t>
      </w:r>
      <w:r w:rsidR="009A4F1E">
        <w:rPr>
          <w:rFonts w:ascii="Arial" w:hAnsi="Arial" w:cs="Arial"/>
        </w:rPr>
        <w:t>. This</w:t>
      </w:r>
      <w:r w:rsidR="001C56BD">
        <w:rPr>
          <w:rFonts w:ascii="Arial" w:hAnsi="Arial" w:cs="Arial"/>
        </w:rPr>
        <w:t xml:space="preserve"> could</w:t>
      </w:r>
      <w:r w:rsidR="009A4F1E">
        <w:rPr>
          <w:rFonts w:ascii="Arial" w:hAnsi="Arial" w:cs="Arial"/>
        </w:rPr>
        <w:t xml:space="preserve"> </w:t>
      </w:r>
      <w:r w:rsidR="00B05A8C">
        <w:rPr>
          <w:rFonts w:ascii="Arial" w:hAnsi="Arial" w:cs="Arial"/>
        </w:rPr>
        <w:t xml:space="preserve">render a countereffect </w:t>
      </w:r>
      <w:r w:rsidR="00522548">
        <w:rPr>
          <w:rFonts w:ascii="Arial" w:hAnsi="Arial" w:cs="Arial"/>
        </w:rPr>
        <w:t>on</w:t>
      </w:r>
      <w:r w:rsidR="00E238DF">
        <w:rPr>
          <w:rFonts w:ascii="Arial" w:hAnsi="Arial" w:cs="Arial"/>
        </w:rPr>
        <w:t xml:space="preserve"> having </w:t>
      </w:r>
      <w:r w:rsidR="00B05A8C">
        <w:rPr>
          <w:rFonts w:ascii="Arial" w:hAnsi="Arial" w:cs="Arial"/>
        </w:rPr>
        <w:t xml:space="preserve">HPUE to improve UL throughput </w:t>
      </w:r>
      <w:r w:rsidR="00522548">
        <w:rPr>
          <w:rFonts w:ascii="Arial" w:hAnsi="Arial" w:cs="Arial"/>
        </w:rPr>
        <w:t xml:space="preserve">near the cell edge as motivated by this </w:t>
      </w:r>
      <w:r w:rsidR="00C67E71">
        <w:rPr>
          <w:rFonts w:ascii="Arial" w:hAnsi="Arial" w:cs="Arial"/>
        </w:rPr>
        <w:t>work item</w:t>
      </w:r>
      <w:r w:rsidR="00522548">
        <w:rPr>
          <w:rFonts w:ascii="Arial" w:hAnsi="Arial" w:cs="Arial"/>
        </w:rPr>
        <w:t xml:space="preserve">. </w:t>
      </w:r>
      <w:r w:rsidR="001C56BD">
        <w:rPr>
          <w:rFonts w:ascii="Arial" w:hAnsi="Arial" w:cs="Arial"/>
        </w:rPr>
        <w:t xml:space="preserve">For FDD bands with wide duplex </w:t>
      </w:r>
      <w:r w:rsidR="00ED2654">
        <w:rPr>
          <w:rFonts w:ascii="Arial" w:hAnsi="Arial" w:cs="Arial"/>
        </w:rPr>
        <w:t>gap</w:t>
      </w:r>
      <w:r w:rsidR="001C56BD">
        <w:rPr>
          <w:rFonts w:ascii="Arial" w:hAnsi="Arial" w:cs="Arial"/>
        </w:rPr>
        <w:t xml:space="preserve">, despite UL RB allocation restriction </w:t>
      </w:r>
      <w:r w:rsidR="005A5605">
        <w:rPr>
          <w:rFonts w:ascii="Arial" w:hAnsi="Arial" w:cs="Arial"/>
        </w:rPr>
        <w:t>may not be</w:t>
      </w:r>
      <w:r w:rsidR="001C56BD">
        <w:rPr>
          <w:rFonts w:ascii="Arial" w:hAnsi="Arial" w:cs="Arial"/>
        </w:rPr>
        <w:t xml:space="preserve"> needed</w:t>
      </w:r>
      <w:r w:rsidR="005A5605">
        <w:rPr>
          <w:rFonts w:ascii="Arial" w:hAnsi="Arial" w:cs="Arial"/>
        </w:rPr>
        <w:t>, REFSENS can still be degraded by elevated Tx thermal noise floor at Rx band, UE receiver 2</w:t>
      </w:r>
      <w:r w:rsidR="005A5605" w:rsidRPr="005A5605">
        <w:rPr>
          <w:rFonts w:ascii="Arial" w:hAnsi="Arial" w:cs="Arial"/>
          <w:vertAlign w:val="superscript"/>
        </w:rPr>
        <w:t>nd</w:t>
      </w:r>
      <w:r w:rsidR="005A5605">
        <w:rPr>
          <w:rFonts w:ascii="Arial" w:hAnsi="Arial" w:cs="Arial"/>
        </w:rPr>
        <w:t xml:space="preserve"> order nonlinearity and large signal induced noise figure degradation due to increased UL power under HPUE operation which could impact UE DL throughput near the cell edge as well.</w:t>
      </w:r>
    </w:p>
    <w:p w14:paraId="5EA1AAD6" w14:textId="1EC51925" w:rsidR="005A5605" w:rsidRDefault="005A5605" w:rsidP="0073496B">
      <w:pPr>
        <w:spacing w:after="0"/>
        <w:jc w:val="both"/>
        <w:rPr>
          <w:rFonts w:ascii="Arial" w:hAnsi="Arial" w:cs="Arial"/>
        </w:rPr>
      </w:pPr>
    </w:p>
    <w:tbl>
      <w:tblPr>
        <w:tblW w:w="8805" w:type="dxa"/>
        <w:jc w:val="center"/>
        <w:tblLayout w:type="fixed"/>
        <w:tblLook w:val="0000" w:firstRow="0" w:lastRow="0" w:firstColumn="0" w:lastColumn="0" w:noHBand="0" w:noVBand="0"/>
      </w:tblPr>
      <w:tblGrid>
        <w:gridCol w:w="810"/>
        <w:gridCol w:w="789"/>
        <w:gridCol w:w="720"/>
        <w:gridCol w:w="720"/>
        <w:gridCol w:w="720"/>
        <w:gridCol w:w="720"/>
        <w:gridCol w:w="720"/>
        <w:gridCol w:w="720"/>
        <w:gridCol w:w="720"/>
        <w:gridCol w:w="720"/>
        <w:gridCol w:w="720"/>
        <w:gridCol w:w="726"/>
      </w:tblGrid>
      <w:tr w:rsidR="005A49C4" w:rsidRPr="00702A62" w14:paraId="368D4AED" w14:textId="77777777" w:rsidTr="00702A62">
        <w:trPr>
          <w:trHeight w:val="288"/>
          <w:jc w:val="center"/>
        </w:trPr>
        <w:tc>
          <w:tcPr>
            <w:tcW w:w="810" w:type="dxa"/>
            <w:vMerge w:val="restart"/>
            <w:tcBorders>
              <w:top w:val="single" w:sz="12" w:space="0" w:color="auto"/>
              <w:left w:val="single" w:sz="12" w:space="0" w:color="auto"/>
              <w:right w:val="single" w:sz="6" w:space="0" w:color="auto"/>
            </w:tcBorders>
            <w:vAlign w:val="center"/>
          </w:tcPr>
          <w:p w14:paraId="7DB88B1D"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Band</w:t>
            </w:r>
          </w:p>
        </w:tc>
        <w:tc>
          <w:tcPr>
            <w:tcW w:w="789" w:type="dxa"/>
            <w:tcBorders>
              <w:top w:val="single" w:sz="12" w:space="0" w:color="auto"/>
              <w:left w:val="single" w:sz="6" w:space="0" w:color="auto"/>
              <w:bottom w:val="nil"/>
              <w:right w:val="single" w:sz="6" w:space="0" w:color="auto"/>
            </w:tcBorders>
            <w:vAlign w:val="center"/>
          </w:tcPr>
          <w:p w14:paraId="2BBDD1E5"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206" w:type="dxa"/>
            <w:gridSpan w:val="10"/>
            <w:tcBorders>
              <w:top w:val="single" w:sz="12" w:space="0" w:color="auto"/>
              <w:left w:val="single" w:sz="6" w:space="0" w:color="auto"/>
              <w:bottom w:val="single" w:sz="6" w:space="0" w:color="auto"/>
              <w:right w:val="single" w:sz="12" w:space="0" w:color="auto"/>
            </w:tcBorders>
            <w:vAlign w:val="center"/>
          </w:tcPr>
          <w:p w14:paraId="66B7DC5A" w14:textId="7297C348"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Channel B</w:t>
            </w:r>
            <w:r w:rsidR="00702A62">
              <w:rPr>
                <w:rFonts w:ascii="Calibri" w:hAnsi="Calibri" w:cs="Calibri"/>
                <w:b/>
                <w:bCs/>
                <w:color w:val="000000"/>
                <w:sz w:val="18"/>
                <w:szCs w:val="18"/>
                <w:lang w:val="en-US" w:eastAsia="en-GB"/>
              </w:rPr>
              <w:t>W</w:t>
            </w:r>
            <w:r w:rsidRPr="00702A62">
              <w:rPr>
                <w:rFonts w:ascii="Calibri" w:hAnsi="Calibri" w:cs="Calibri"/>
                <w:b/>
                <w:bCs/>
                <w:color w:val="000000"/>
                <w:sz w:val="18"/>
                <w:szCs w:val="18"/>
                <w:lang w:val="en-US" w:eastAsia="en-GB"/>
              </w:rPr>
              <w:t xml:space="preserve"> (MHz) / N</w:t>
            </w:r>
            <w:r w:rsidRPr="00702A62">
              <w:rPr>
                <w:rFonts w:ascii="Calibri" w:hAnsi="Calibri" w:cs="Calibri"/>
                <w:b/>
                <w:bCs/>
                <w:color w:val="000000"/>
                <w:sz w:val="18"/>
                <w:szCs w:val="18"/>
                <w:vertAlign w:val="subscript"/>
                <w:lang w:val="en-US" w:eastAsia="en-GB"/>
              </w:rPr>
              <w:t>RB</w:t>
            </w:r>
            <w:r w:rsidRPr="00702A62">
              <w:rPr>
                <w:rFonts w:ascii="Calibri" w:hAnsi="Calibri" w:cs="Calibri"/>
                <w:b/>
                <w:bCs/>
                <w:color w:val="000000"/>
                <w:sz w:val="18"/>
                <w:szCs w:val="18"/>
                <w:lang w:val="en-US" w:eastAsia="en-GB"/>
              </w:rPr>
              <w:t xml:space="preserve"> / UL Configurations for REFSENS / MSD (dB) (PC3) with SCS = 15 kHz</w:t>
            </w:r>
          </w:p>
        </w:tc>
      </w:tr>
      <w:tr w:rsidR="005A49C4" w:rsidRPr="00702A62" w14:paraId="667FB763" w14:textId="77777777" w:rsidTr="00702A62">
        <w:trPr>
          <w:trHeight w:val="288"/>
          <w:jc w:val="center"/>
        </w:trPr>
        <w:tc>
          <w:tcPr>
            <w:tcW w:w="810" w:type="dxa"/>
            <w:vMerge/>
            <w:tcBorders>
              <w:left w:val="single" w:sz="12" w:space="0" w:color="auto"/>
              <w:right w:val="single" w:sz="6" w:space="0" w:color="auto"/>
            </w:tcBorders>
            <w:vAlign w:val="center"/>
          </w:tcPr>
          <w:p w14:paraId="658044F4"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nil"/>
              <w:left w:val="single" w:sz="6" w:space="0" w:color="auto"/>
              <w:bottom w:val="single" w:sz="6" w:space="0" w:color="auto"/>
              <w:right w:val="single" w:sz="6" w:space="0" w:color="auto"/>
            </w:tcBorders>
            <w:vAlign w:val="center"/>
          </w:tcPr>
          <w:p w14:paraId="04E24333"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738A6F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5</w:t>
            </w:r>
          </w:p>
        </w:tc>
        <w:tc>
          <w:tcPr>
            <w:tcW w:w="720" w:type="dxa"/>
            <w:tcBorders>
              <w:top w:val="single" w:sz="6" w:space="0" w:color="auto"/>
              <w:left w:val="single" w:sz="6" w:space="0" w:color="auto"/>
              <w:bottom w:val="single" w:sz="6" w:space="0" w:color="auto"/>
              <w:right w:val="single" w:sz="6" w:space="0" w:color="auto"/>
            </w:tcBorders>
            <w:vAlign w:val="center"/>
          </w:tcPr>
          <w:p w14:paraId="536AF8DF"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10</w:t>
            </w:r>
          </w:p>
        </w:tc>
        <w:tc>
          <w:tcPr>
            <w:tcW w:w="720" w:type="dxa"/>
            <w:tcBorders>
              <w:top w:val="single" w:sz="6" w:space="0" w:color="auto"/>
              <w:left w:val="single" w:sz="6" w:space="0" w:color="auto"/>
              <w:bottom w:val="single" w:sz="6" w:space="0" w:color="auto"/>
              <w:right w:val="single" w:sz="6" w:space="0" w:color="auto"/>
            </w:tcBorders>
            <w:vAlign w:val="center"/>
          </w:tcPr>
          <w:p w14:paraId="49DA6F6F"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15</w:t>
            </w:r>
          </w:p>
        </w:tc>
        <w:tc>
          <w:tcPr>
            <w:tcW w:w="720" w:type="dxa"/>
            <w:tcBorders>
              <w:top w:val="single" w:sz="6" w:space="0" w:color="auto"/>
              <w:left w:val="single" w:sz="6" w:space="0" w:color="auto"/>
              <w:bottom w:val="single" w:sz="6" w:space="0" w:color="auto"/>
              <w:right w:val="single" w:sz="6" w:space="0" w:color="auto"/>
            </w:tcBorders>
            <w:vAlign w:val="center"/>
          </w:tcPr>
          <w:p w14:paraId="5BF1C8CB"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65B0FAE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51970E25"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30</w:t>
            </w:r>
          </w:p>
        </w:tc>
        <w:tc>
          <w:tcPr>
            <w:tcW w:w="720" w:type="dxa"/>
            <w:tcBorders>
              <w:top w:val="single" w:sz="6" w:space="0" w:color="auto"/>
              <w:left w:val="single" w:sz="6" w:space="0" w:color="auto"/>
              <w:bottom w:val="single" w:sz="6" w:space="0" w:color="auto"/>
              <w:right w:val="single" w:sz="6" w:space="0" w:color="auto"/>
            </w:tcBorders>
            <w:vAlign w:val="center"/>
          </w:tcPr>
          <w:p w14:paraId="2B06763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35</w:t>
            </w:r>
          </w:p>
        </w:tc>
        <w:tc>
          <w:tcPr>
            <w:tcW w:w="720" w:type="dxa"/>
            <w:tcBorders>
              <w:top w:val="single" w:sz="6" w:space="0" w:color="auto"/>
              <w:left w:val="single" w:sz="6" w:space="0" w:color="auto"/>
              <w:bottom w:val="single" w:sz="6" w:space="0" w:color="auto"/>
              <w:right w:val="single" w:sz="6" w:space="0" w:color="auto"/>
            </w:tcBorders>
            <w:vAlign w:val="center"/>
          </w:tcPr>
          <w:p w14:paraId="31F0D3A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40</w:t>
            </w:r>
          </w:p>
        </w:tc>
        <w:tc>
          <w:tcPr>
            <w:tcW w:w="720" w:type="dxa"/>
            <w:tcBorders>
              <w:top w:val="single" w:sz="6" w:space="0" w:color="auto"/>
              <w:left w:val="single" w:sz="6" w:space="0" w:color="auto"/>
              <w:bottom w:val="single" w:sz="6" w:space="0" w:color="auto"/>
              <w:right w:val="single" w:sz="6" w:space="0" w:color="auto"/>
            </w:tcBorders>
            <w:vAlign w:val="center"/>
          </w:tcPr>
          <w:p w14:paraId="7EF35FD6"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45</w:t>
            </w:r>
          </w:p>
        </w:tc>
        <w:tc>
          <w:tcPr>
            <w:tcW w:w="726" w:type="dxa"/>
            <w:tcBorders>
              <w:top w:val="single" w:sz="6" w:space="0" w:color="auto"/>
              <w:left w:val="single" w:sz="6" w:space="0" w:color="auto"/>
              <w:bottom w:val="single" w:sz="6" w:space="0" w:color="auto"/>
              <w:right w:val="single" w:sz="12" w:space="0" w:color="auto"/>
            </w:tcBorders>
            <w:vAlign w:val="center"/>
          </w:tcPr>
          <w:p w14:paraId="59B09638"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50</w:t>
            </w:r>
          </w:p>
        </w:tc>
      </w:tr>
      <w:tr w:rsidR="005A49C4" w:rsidRPr="00702A62" w14:paraId="5D2E87DD"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4CAB3106"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5E8487C6"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w:t>
            </w:r>
          </w:p>
        </w:tc>
        <w:tc>
          <w:tcPr>
            <w:tcW w:w="720" w:type="dxa"/>
            <w:tcBorders>
              <w:top w:val="single" w:sz="6" w:space="0" w:color="auto"/>
              <w:left w:val="single" w:sz="6" w:space="0" w:color="auto"/>
              <w:bottom w:val="single" w:sz="6" w:space="0" w:color="auto"/>
              <w:right w:val="single" w:sz="6" w:space="0" w:color="auto"/>
            </w:tcBorders>
            <w:vAlign w:val="center"/>
          </w:tcPr>
          <w:p w14:paraId="1D59938B"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107E0275"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52</w:t>
            </w:r>
          </w:p>
        </w:tc>
        <w:tc>
          <w:tcPr>
            <w:tcW w:w="720" w:type="dxa"/>
            <w:tcBorders>
              <w:top w:val="single" w:sz="6" w:space="0" w:color="auto"/>
              <w:left w:val="single" w:sz="6" w:space="0" w:color="auto"/>
              <w:bottom w:val="single" w:sz="6" w:space="0" w:color="auto"/>
              <w:right w:val="single" w:sz="6" w:space="0" w:color="auto"/>
            </w:tcBorders>
            <w:vAlign w:val="center"/>
          </w:tcPr>
          <w:p w14:paraId="4D30F681"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79</w:t>
            </w:r>
          </w:p>
        </w:tc>
        <w:tc>
          <w:tcPr>
            <w:tcW w:w="720" w:type="dxa"/>
            <w:tcBorders>
              <w:top w:val="single" w:sz="6" w:space="0" w:color="auto"/>
              <w:left w:val="single" w:sz="6" w:space="0" w:color="auto"/>
              <w:bottom w:val="single" w:sz="6" w:space="0" w:color="auto"/>
              <w:right w:val="single" w:sz="6" w:space="0" w:color="auto"/>
            </w:tcBorders>
            <w:vAlign w:val="center"/>
          </w:tcPr>
          <w:p w14:paraId="6A6D8EF3"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106</w:t>
            </w:r>
          </w:p>
        </w:tc>
        <w:tc>
          <w:tcPr>
            <w:tcW w:w="720" w:type="dxa"/>
            <w:tcBorders>
              <w:top w:val="single" w:sz="6" w:space="0" w:color="auto"/>
              <w:left w:val="single" w:sz="6" w:space="0" w:color="auto"/>
              <w:bottom w:val="single" w:sz="6" w:space="0" w:color="auto"/>
              <w:right w:val="single" w:sz="6" w:space="0" w:color="auto"/>
            </w:tcBorders>
            <w:vAlign w:val="center"/>
          </w:tcPr>
          <w:p w14:paraId="0811E33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133</w:t>
            </w:r>
          </w:p>
        </w:tc>
        <w:tc>
          <w:tcPr>
            <w:tcW w:w="720" w:type="dxa"/>
            <w:tcBorders>
              <w:top w:val="single" w:sz="6" w:space="0" w:color="auto"/>
              <w:left w:val="single" w:sz="6" w:space="0" w:color="auto"/>
              <w:bottom w:val="single" w:sz="6" w:space="0" w:color="auto"/>
              <w:right w:val="single" w:sz="6" w:space="0" w:color="auto"/>
            </w:tcBorders>
            <w:vAlign w:val="center"/>
          </w:tcPr>
          <w:p w14:paraId="314552E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160</w:t>
            </w:r>
          </w:p>
        </w:tc>
        <w:tc>
          <w:tcPr>
            <w:tcW w:w="720" w:type="dxa"/>
            <w:tcBorders>
              <w:top w:val="single" w:sz="6" w:space="0" w:color="auto"/>
              <w:left w:val="single" w:sz="6" w:space="0" w:color="auto"/>
              <w:bottom w:val="single" w:sz="6" w:space="0" w:color="auto"/>
              <w:right w:val="single" w:sz="6" w:space="0" w:color="auto"/>
            </w:tcBorders>
            <w:vAlign w:val="center"/>
          </w:tcPr>
          <w:p w14:paraId="4B8B0133"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188</w:t>
            </w:r>
          </w:p>
        </w:tc>
        <w:tc>
          <w:tcPr>
            <w:tcW w:w="720" w:type="dxa"/>
            <w:tcBorders>
              <w:top w:val="single" w:sz="6" w:space="0" w:color="auto"/>
              <w:left w:val="single" w:sz="6" w:space="0" w:color="auto"/>
              <w:bottom w:val="single" w:sz="6" w:space="0" w:color="auto"/>
              <w:right w:val="single" w:sz="6" w:space="0" w:color="auto"/>
            </w:tcBorders>
            <w:vAlign w:val="center"/>
          </w:tcPr>
          <w:p w14:paraId="2EB9D6B9"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216</w:t>
            </w:r>
          </w:p>
        </w:tc>
        <w:tc>
          <w:tcPr>
            <w:tcW w:w="720" w:type="dxa"/>
            <w:tcBorders>
              <w:top w:val="single" w:sz="6" w:space="0" w:color="auto"/>
              <w:left w:val="single" w:sz="6" w:space="0" w:color="auto"/>
              <w:bottom w:val="single" w:sz="6" w:space="0" w:color="auto"/>
              <w:right w:val="single" w:sz="6" w:space="0" w:color="auto"/>
            </w:tcBorders>
            <w:vAlign w:val="center"/>
          </w:tcPr>
          <w:p w14:paraId="2A6F3ED7"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242</w:t>
            </w:r>
          </w:p>
        </w:tc>
        <w:tc>
          <w:tcPr>
            <w:tcW w:w="726" w:type="dxa"/>
            <w:tcBorders>
              <w:top w:val="single" w:sz="6" w:space="0" w:color="auto"/>
              <w:left w:val="single" w:sz="6" w:space="0" w:color="auto"/>
              <w:bottom w:val="single" w:sz="6" w:space="0" w:color="auto"/>
              <w:right w:val="single" w:sz="12" w:space="0" w:color="auto"/>
            </w:tcBorders>
            <w:vAlign w:val="center"/>
          </w:tcPr>
          <w:p w14:paraId="08CA8A76"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279</w:t>
            </w:r>
          </w:p>
        </w:tc>
      </w:tr>
      <w:tr w:rsidR="005A49C4" w:rsidRPr="00702A62" w14:paraId="66D1D41D"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5D1F0F9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n1</w:t>
            </w:r>
          </w:p>
        </w:tc>
        <w:tc>
          <w:tcPr>
            <w:tcW w:w="789" w:type="dxa"/>
            <w:tcBorders>
              <w:top w:val="single" w:sz="6" w:space="0" w:color="auto"/>
              <w:left w:val="nil"/>
              <w:bottom w:val="single" w:sz="6" w:space="0" w:color="auto"/>
              <w:right w:val="single" w:sz="6" w:space="0" w:color="auto"/>
            </w:tcBorders>
            <w:vAlign w:val="center"/>
          </w:tcPr>
          <w:p w14:paraId="0BA4DED5"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4F054AD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19154CE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6133631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75</w:t>
            </w:r>
          </w:p>
        </w:tc>
        <w:tc>
          <w:tcPr>
            <w:tcW w:w="720" w:type="dxa"/>
            <w:tcBorders>
              <w:top w:val="single" w:sz="6" w:space="0" w:color="auto"/>
              <w:left w:val="single" w:sz="6" w:space="0" w:color="auto"/>
              <w:bottom w:val="single" w:sz="6" w:space="0" w:color="auto"/>
              <w:right w:val="single" w:sz="6" w:space="0" w:color="auto"/>
            </w:tcBorders>
            <w:vAlign w:val="center"/>
          </w:tcPr>
          <w:p w14:paraId="0B6CBC1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100</w:t>
            </w:r>
          </w:p>
        </w:tc>
        <w:tc>
          <w:tcPr>
            <w:tcW w:w="720" w:type="dxa"/>
            <w:tcBorders>
              <w:top w:val="single" w:sz="6" w:space="0" w:color="auto"/>
              <w:left w:val="single" w:sz="6" w:space="0" w:color="auto"/>
              <w:bottom w:val="single" w:sz="6" w:space="0" w:color="auto"/>
              <w:right w:val="single" w:sz="6" w:space="0" w:color="auto"/>
            </w:tcBorders>
            <w:vAlign w:val="center"/>
          </w:tcPr>
          <w:p w14:paraId="6578F00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128</w:t>
            </w:r>
          </w:p>
        </w:tc>
        <w:tc>
          <w:tcPr>
            <w:tcW w:w="720" w:type="dxa"/>
            <w:tcBorders>
              <w:top w:val="single" w:sz="6" w:space="0" w:color="auto"/>
              <w:left w:val="single" w:sz="6" w:space="0" w:color="auto"/>
              <w:bottom w:val="single" w:sz="6" w:space="0" w:color="auto"/>
              <w:right w:val="single" w:sz="6" w:space="0" w:color="auto"/>
            </w:tcBorders>
            <w:vAlign w:val="center"/>
          </w:tcPr>
          <w:p w14:paraId="6B9C704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AB2108">
              <w:rPr>
                <w:rFonts w:ascii="Calibri" w:hAnsi="Calibri" w:cs="Calibri"/>
                <w:color w:val="0070C0"/>
                <w:sz w:val="18"/>
                <w:szCs w:val="18"/>
                <w:lang w:val="en-US" w:eastAsia="en-GB"/>
              </w:rPr>
              <w:t>128</w:t>
            </w:r>
          </w:p>
        </w:tc>
        <w:tc>
          <w:tcPr>
            <w:tcW w:w="720" w:type="dxa"/>
            <w:tcBorders>
              <w:top w:val="single" w:sz="6" w:space="0" w:color="auto"/>
              <w:left w:val="single" w:sz="6" w:space="0" w:color="auto"/>
              <w:bottom w:val="single" w:sz="6" w:space="0" w:color="auto"/>
              <w:right w:val="single" w:sz="6" w:space="0" w:color="auto"/>
            </w:tcBorders>
            <w:vAlign w:val="center"/>
          </w:tcPr>
          <w:p w14:paraId="6B8BBDF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6B04724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AB2108">
              <w:rPr>
                <w:rFonts w:ascii="Calibri" w:hAnsi="Calibri" w:cs="Calibri"/>
                <w:color w:val="0070C0"/>
                <w:sz w:val="18"/>
                <w:szCs w:val="18"/>
                <w:lang w:val="en-US" w:eastAsia="en-GB"/>
              </w:rPr>
              <w:t>128</w:t>
            </w:r>
          </w:p>
        </w:tc>
        <w:tc>
          <w:tcPr>
            <w:tcW w:w="720" w:type="dxa"/>
            <w:tcBorders>
              <w:top w:val="single" w:sz="6" w:space="0" w:color="auto"/>
              <w:left w:val="single" w:sz="6" w:space="0" w:color="auto"/>
              <w:bottom w:val="single" w:sz="6" w:space="0" w:color="auto"/>
              <w:right w:val="single" w:sz="6" w:space="0" w:color="auto"/>
            </w:tcBorders>
            <w:vAlign w:val="center"/>
          </w:tcPr>
          <w:p w14:paraId="24A189E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AB2108">
              <w:rPr>
                <w:rFonts w:ascii="Calibri" w:hAnsi="Calibri" w:cs="Calibri"/>
                <w:color w:val="0070C0"/>
                <w:sz w:val="18"/>
                <w:szCs w:val="18"/>
                <w:lang w:val="en-US" w:eastAsia="en-GB"/>
              </w:rPr>
              <w:t>128</w:t>
            </w:r>
          </w:p>
        </w:tc>
        <w:tc>
          <w:tcPr>
            <w:tcW w:w="726" w:type="dxa"/>
            <w:tcBorders>
              <w:top w:val="single" w:sz="6" w:space="0" w:color="auto"/>
              <w:left w:val="single" w:sz="6" w:space="0" w:color="auto"/>
              <w:bottom w:val="single" w:sz="6" w:space="0" w:color="auto"/>
              <w:right w:val="single" w:sz="12" w:space="0" w:color="auto"/>
            </w:tcBorders>
            <w:vAlign w:val="center"/>
          </w:tcPr>
          <w:p w14:paraId="64352B7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AB2108">
              <w:rPr>
                <w:rFonts w:ascii="Calibri" w:hAnsi="Calibri" w:cs="Calibri"/>
                <w:color w:val="0070C0"/>
                <w:sz w:val="18"/>
                <w:szCs w:val="18"/>
                <w:lang w:val="en-US" w:eastAsia="en-GB"/>
              </w:rPr>
              <w:t>128</w:t>
            </w:r>
          </w:p>
        </w:tc>
      </w:tr>
      <w:tr w:rsidR="005A49C4" w:rsidRPr="00702A62" w14:paraId="6EE4A86F"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1AC352D9"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524E2167"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1A644CB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14DF588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754034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D0F1C5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7BE925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4FFF20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9F611F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601C663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3C89D68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6" w:type="dxa"/>
            <w:tcBorders>
              <w:top w:val="single" w:sz="6" w:space="0" w:color="auto"/>
              <w:left w:val="single" w:sz="6" w:space="0" w:color="auto"/>
              <w:bottom w:val="single" w:sz="6" w:space="0" w:color="auto"/>
              <w:right w:val="single" w:sz="12" w:space="0" w:color="auto"/>
            </w:tcBorders>
            <w:vAlign w:val="center"/>
          </w:tcPr>
          <w:p w14:paraId="0EF883C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r>
      <w:tr w:rsidR="005A49C4" w:rsidRPr="00702A62" w14:paraId="75CD26A5"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551E922D"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n2</w:t>
            </w:r>
          </w:p>
        </w:tc>
        <w:tc>
          <w:tcPr>
            <w:tcW w:w="789" w:type="dxa"/>
            <w:tcBorders>
              <w:top w:val="single" w:sz="6" w:space="0" w:color="auto"/>
              <w:left w:val="nil"/>
              <w:bottom w:val="single" w:sz="6" w:space="0" w:color="auto"/>
              <w:right w:val="single" w:sz="6" w:space="0" w:color="auto"/>
            </w:tcBorders>
            <w:vAlign w:val="center"/>
          </w:tcPr>
          <w:p w14:paraId="10DA98E6"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2D286D2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02F00A2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4DC10D65"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022BB623"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61F70A0B"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5D494414"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48</w:t>
            </w:r>
          </w:p>
        </w:tc>
        <w:tc>
          <w:tcPr>
            <w:tcW w:w="720" w:type="dxa"/>
            <w:tcBorders>
              <w:top w:val="single" w:sz="6" w:space="0" w:color="auto"/>
              <w:left w:val="single" w:sz="6" w:space="0" w:color="auto"/>
              <w:bottom w:val="single" w:sz="6" w:space="0" w:color="auto"/>
              <w:right w:val="single" w:sz="6" w:space="0" w:color="auto"/>
            </w:tcBorders>
            <w:vAlign w:val="center"/>
          </w:tcPr>
          <w:p w14:paraId="5EC59C50"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40</w:t>
            </w:r>
          </w:p>
        </w:tc>
        <w:tc>
          <w:tcPr>
            <w:tcW w:w="720" w:type="dxa"/>
            <w:tcBorders>
              <w:top w:val="single" w:sz="6" w:space="0" w:color="auto"/>
              <w:left w:val="single" w:sz="6" w:space="0" w:color="auto"/>
              <w:bottom w:val="single" w:sz="6" w:space="0" w:color="auto"/>
              <w:right w:val="single" w:sz="6" w:space="0" w:color="auto"/>
            </w:tcBorders>
            <w:vAlign w:val="center"/>
          </w:tcPr>
          <w:p w14:paraId="5E0A9C3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8183DE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350AAE4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06C80CE1"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5A507902"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5C3F1F5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7CA114E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AAAED4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1A5CB7A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1FE176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3BD4717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0116168"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5.8</w:t>
            </w:r>
          </w:p>
        </w:tc>
        <w:tc>
          <w:tcPr>
            <w:tcW w:w="720" w:type="dxa"/>
            <w:tcBorders>
              <w:top w:val="single" w:sz="6" w:space="0" w:color="auto"/>
              <w:left w:val="single" w:sz="6" w:space="0" w:color="auto"/>
              <w:bottom w:val="single" w:sz="6" w:space="0" w:color="auto"/>
              <w:right w:val="single" w:sz="6" w:space="0" w:color="auto"/>
            </w:tcBorders>
            <w:vAlign w:val="center"/>
          </w:tcPr>
          <w:p w14:paraId="15D2ACB3"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5.6</w:t>
            </w:r>
          </w:p>
        </w:tc>
        <w:tc>
          <w:tcPr>
            <w:tcW w:w="720" w:type="dxa"/>
            <w:tcBorders>
              <w:top w:val="single" w:sz="6" w:space="0" w:color="auto"/>
              <w:left w:val="single" w:sz="6" w:space="0" w:color="auto"/>
              <w:bottom w:val="single" w:sz="6" w:space="0" w:color="auto"/>
              <w:right w:val="single" w:sz="6" w:space="0" w:color="auto"/>
            </w:tcBorders>
            <w:vAlign w:val="center"/>
          </w:tcPr>
          <w:p w14:paraId="4E38014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596E29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188022E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287BC08A"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43A2CB1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n3</w:t>
            </w:r>
          </w:p>
        </w:tc>
        <w:tc>
          <w:tcPr>
            <w:tcW w:w="789" w:type="dxa"/>
            <w:tcBorders>
              <w:top w:val="single" w:sz="6" w:space="0" w:color="auto"/>
              <w:left w:val="nil"/>
              <w:bottom w:val="single" w:sz="6" w:space="0" w:color="auto"/>
              <w:right w:val="single" w:sz="6" w:space="0" w:color="auto"/>
            </w:tcBorders>
            <w:vAlign w:val="center"/>
          </w:tcPr>
          <w:p w14:paraId="5756D3ED"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390D145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45D3623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596BD2C9"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18825E0F"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5C5F34A6"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4B739DEB"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2D7E2381"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5B24CB40"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2D9649B7"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6" w:type="dxa"/>
            <w:tcBorders>
              <w:top w:val="single" w:sz="6" w:space="0" w:color="auto"/>
              <w:left w:val="single" w:sz="6" w:space="0" w:color="auto"/>
              <w:bottom w:val="single" w:sz="6" w:space="0" w:color="auto"/>
              <w:right w:val="single" w:sz="12" w:space="0" w:color="auto"/>
            </w:tcBorders>
            <w:vAlign w:val="center"/>
          </w:tcPr>
          <w:p w14:paraId="7996C7CB"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r>
      <w:tr w:rsidR="005A49C4" w:rsidRPr="00702A62" w14:paraId="39679DDD"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2E964979"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568D6A8B"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0A3D2A3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7886F8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82B135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792ACA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0F662C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7392E0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7A7E7C2"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2</w:t>
            </w:r>
          </w:p>
        </w:tc>
        <w:tc>
          <w:tcPr>
            <w:tcW w:w="720" w:type="dxa"/>
            <w:tcBorders>
              <w:top w:val="single" w:sz="6" w:space="0" w:color="auto"/>
              <w:left w:val="single" w:sz="6" w:space="0" w:color="auto"/>
              <w:bottom w:val="single" w:sz="6" w:space="0" w:color="auto"/>
              <w:right w:val="single" w:sz="6" w:space="0" w:color="auto"/>
            </w:tcBorders>
            <w:vAlign w:val="center"/>
          </w:tcPr>
          <w:p w14:paraId="7F72EB2B"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5.3</w:t>
            </w:r>
          </w:p>
        </w:tc>
        <w:tc>
          <w:tcPr>
            <w:tcW w:w="720" w:type="dxa"/>
            <w:tcBorders>
              <w:top w:val="single" w:sz="6" w:space="0" w:color="auto"/>
              <w:left w:val="single" w:sz="6" w:space="0" w:color="auto"/>
              <w:bottom w:val="single" w:sz="6" w:space="0" w:color="auto"/>
              <w:right w:val="single" w:sz="6" w:space="0" w:color="auto"/>
            </w:tcBorders>
            <w:vAlign w:val="center"/>
          </w:tcPr>
          <w:p w14:paraId="76B4CDD3"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5.8</w:t>
            </w:r>
          </w:p>
        </w:tc>
        <w:tc>
          <w:tcPr>
            <w:tcW w:w="726" w:type="dxa"/>
            <w:tcBorders>
              <w:top w:val="single" w:sz="6" w:space="0" w:color="auto"/>
              <w:left w:val="single" w:sz="6" w:space="0" w:color="auto"/>
              <w:bottom w:val="single" w:sz="6" w:space="0" w:color="auto"/>
              <w:right w:val="single" w:sz="12" w:space="0" w:color="auto"/>
            </w:tcBorders>
            <w:vAlign w:val="center"/>
          </w:tcPr>
          <w:p w14:paraId="11490593"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6.8</w:t>
            </w:r>
          </w:p>
        </w:tc>
      </w:tr>
      <w:tr w:rsidR="005A49C4" w:rsidRPr="00702A62" w14:paraId="2E822111"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571FE95F"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n5</w:t>
            </w:r>
          </w:p>
        </w:tc>
        <w:tc>
          <w:tcPr>
            <w:tcW w:w="789" w:type="dxa"/>
            <w:tcBorders>
              <w:top w:val="single" w:sz="6" w:space="0" w:color="auto"/>
              <w:left w:val="nil"/>
              <w:bottom w:val="single" w:sz="6" w:space="0" w:color="auto"/>
              <w:right w:val="single" w:sz="6" w:space="0" w:color="auto"/>
            </w:tcBorders>
            <w:vAlign w:val="center"/>
          </w:tcPr>
          <w:p w14:paraId="7E48C34A"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4878EFA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628EF0F2"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20BE69DA"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43EFA64A"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5BCB3368"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1D80046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335EBA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69DAE9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A3FEA0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01016B6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54CAB1ED"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513B4A1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6A9538B1"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79ACBD9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2F2E54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B53E73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CDAB30E"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4.9</w:t>
            </w:r>
          </w:p>
        </w:tc>
        <w:tc>
          <w:tcPr>
            <w:tcW w:w="720" w:type="dxa"/>
            <w:tcBorders>
              <w:top w:val="single" w:sz="6" w:space="0" w:color="auto"/>
              <w:left w:val="single" w:sz="6" w:space="0" w:color="auto"/>
              <w:bottom w:val="single" w:sz="6" w:space="0" w:color="auto"/>
              <w:right w:val="single" w:sz="6" w:space="0" w:color="auto"/>
            </w:tcBorders>
            <w:vAlign w:val="center"/>
          </w:tcPr>
          <w:p w14:paraId="3D13D3DD"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5.9</w:t>
            </w:r>
          </w:p>
        </w:tc>
        <w:tc>
          <w:tcPr>
            <w:tcW w:w="720" w:type="dxa"/>
            <w:tcBorders>
              <w:top w:val="single" w:sz="6" w:space="0" w:color="auto"/>
              <w:left w:val="single" w:sz="6" w:space="0" w:color="auto"/>
              <w:bottom w:val="single" w:sz="6" w:space="0" w:color="auto"/>
              <w:right w:val="single" w:sz="6" w:space="0" w:color="auto"/>
            </w:tcBorders>
            <w:vAlign w:val="center"/>
          </w:tcPr>
          <w:p w14:paraId="3CB38C7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4F20A08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1BA1E3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4C2654B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758D9CF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27E42CF9"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7F18ABFB"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n7</w:t>
            </w:r>
          </w:p>
        </w:tc>
        <w:tc>
          <w:tcPr>
            <w:tcW w:w="789" w:type="dxa"/>
            <w:tcBorders>
              <w:top w:val="single" w:sz="6" w:space="0" w:color="auto"/>
              <w:left w:val="nil"/>
              <w:bottom w:val="single" w:sz="6" w:space="0" w:color="auto"/>
              <w:right w:val="single" w:sz="6" w:space="0" w:color="auto"/>
            </w:tcBorders>
            <w:vAlign w:val="center"/>
          </w:tcPr>
          <w:p w14:paraId="708AC90C"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174FBDC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6930753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030D13A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75</w:t>
            </w:r>
          </w:p>
        </w:tc>
        <w:tc>
          <w:tcPr>
            <w:tcW w:w="720" w:type="dxa"/>
            <w:tcBorders>
              <w:top w:val="single" w:sz="6" w:space="0" w:color="auto"/>
              <w:left w:val="single" w:sz="6" w:space="0" w:color="auto"/>
              <w:bottom w:val="single" w:sz="6" w:space="0" w:color="auto"/>
              <w:right w:val="single" w:sz="6" w:space="0" w:color="auto"/>
            </w:tcBorders>
            <w:vAlign w:val="center"/>
          </w:tcPr>
          <w:p w14:paraId="27B887C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75</w:t>
            </w:r>
          </w:p>
        </w:tc>
        <w:tc>
          <w:tcPr>
            <w:tcW w:w="720" w:type="dxa"/>
            <w:tcBorders>
              <w:top w:val="single" w:sz="6" w:space="0" w:color="auto"/>
              <w:left w:val="single" w:sz="6" w:space="0" w:color="auto"/>
              <w:bottom w:val="single" w:sz="6" w:space="0" w:color="auto"/>
              <w:right w:val="single" w:sz="6" w:space="0" w:color="auto"/>
            </w:tcBorders>
            <w:vAlign w:val="center"/>
          </w:tcPr>
          <w:p w14:paraId="6D3D8C0C"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72</w:t>
            </w:r>
          </w:p>
        </w:tc>
        <w:tc>
          <w:tcPr>
            <w:tcW w:w="720" w:type="dxa"/>
            <w:tcBorders>
              <w:top w:val="single" w:sz="6" w:space="0" w:color="auto"/>
              <w:left w:val="single" w:sz="6" w:space="0" w:color="auto"/>
              <w:bottom w:val="single" w:sz="6" w:space="0" w:color="auto"/>
              <w:right w:val="single" w:sz="6" w:space="0" w:color="auto"/>
            </w:tcBorders>
            <w:vAlign w:val="center"/>
          </w:tcPr>
          <w:p w14:paraId="6D32A663"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64</w:t>
            </w:r>
          </w:p>
        </w:tc>
        <w:tc>
          <w:tcPr>
            <w:tcW w:w="720" w:type="dxa"/>
            <w:tcBorders>
              <w:top w:val="single" w:sz="6" w:space="0" w:color="auto"/>
              <w:left w:val="single" w:sz="6" w:space="0" w:color="auto"/>
              <w:bottom w:val="single" w:sz="6" w:space="0" w:color="auto"/>
              <w:right w:val="single" w:sz="6" w:space="0" w:color="auto"/>
            </w:tcBorders>
            <w:vAlign w:val="center"/>
          </w:tcPr>
          <w:p w14:paraId="4B2611E2"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45</w:t>
            </w:r>
          </w:p>
        </w:tc>
        <w:tc>
          <w:tcPr>
            <w:tcW w:w="720" w:type="dxa"/>
            <w:tcBorders>
              <w:top w:val="single" w:sz="6" w:space="0" w:color="auto"/>
              <w:left w:val="single" w:sz="6" w:space="0" w:color="auto"/>
              <w:bottom w:val="single" w:sz="6" w:space="0" w:color="auto"/>
              <w:right w:val="single" w:sz="6" w:space="0" w:color="auto"/>
            </w:tcBorders>
            <w:vAlign w:val="center"/>
          </w:tcPr>
          <w:p w14:paraId="0E88F6ED"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45</w:t>
            </w:r>
          </w:p>
        </w:tc>
        <w:tc>
          <w:tcPr>
            <w:tcW w:w="720" w:type="dxa"/>
            <w:tcBorders>
              <w:top w:val="single" w:sz="6" w:space="0" w:color="auto"/>
              <w:left w:val="single" w:sz="6" w:space="0" w:color="auto"/>
              <w:bottom w:val="single" w:sz="6" w:space="0" w:color="auto"/>
              <w:right w:val="single" w:sz="6" w:space="0" w:color="auto"/>
            </w:tcBorders>
            <w:vAlign w:val="center"/>
          </w:tcPr>
          <w:p w14:paraId="3775A42F"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372880DB"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45</w:t>
            </w:r>
          </w:p>
        </w:tc>
      </w:tr>
      <w:tr w:rsidR="005A49C4" w:rsidRPr="00702A62" w14:paraId="62F3D04B"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779E1702"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06E59DAB"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31DE590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3A09317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DBB5B4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7A888D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79714E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A097F2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95F5BC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A5090A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FCA025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53C90C9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FF0000"/>
                <w:sz w:val="18"/>
                <w:szCs w:val="18"/>
                <w:lang w:val="en-US" w:eastAsia="en-GB"/>
              </w:rPr>
              <w:t>6</w:t>
            </w:r>
          </w:p>
        </w:tc>
      </w:tr>
      <w:tr w:rsidR="005A49C4" w:rsidRPr="00702A62" w14:paraId="3A4DAA34"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3E8AC13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n8</w:t>
            </w:r>
          </w:p>
        </w:tc>
        <w:tc>
          <w:tcPr>
            <w:tcW w:w="789" w:type="dxa"/>
            <w:tcBorders>
              <w:top w:val="single" w:sz="6" w:space="0" w:color="auto"/>
              <w:left w:val="nil"/>
              <w:bottom w:val="single" w:sz="6" w:space="0" w:color="auto"/>
              <w:right w:val="single" w:sz="6" w:space="0" w:color="auto"/>
            </w:tcBorders>
            <w:vAlign w:val="center"/>
          </w:tcPr>
          <w:p w14:paraId="6C23FB87"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3B7556F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1F9705F3"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7FCBED2D"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4D56D680"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176FCFC8"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782F8FC"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696A068"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4B948CD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1CEC3D3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2DF565C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7DF66921"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508767DA"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75A803AA"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49A1790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2AE084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98108E6"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0.6</w:t>
            </w:r>
          </w:p>
        </w:tc>
        <w:tc>
          <w:tcPr>
            <w:tcW w:w="720" w:type="dxa"/>
            <w:tcBorders>
              <w:top w:val="single" w:sz="6" w:space="0" w:color="auto"/>
              <w:left w:val="single" w:sz="6" w:space="0" w:color="auto"/>
              <w:bottom w:val="single" w:sz="6" w:space="0" w:color="auto"/>
              <w:right w:val="single" w:sz="6" w:space="0" w:color="auto"/>
            </w:tcBorders>
            <w:vAlign w:val="center"/>
          </w:tcPr>
          <w:p w14:paraId="663F4FB8"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4.9</w:t>
            </w:r>
          </w:p>
        </w:tc>
        <w:tc>
          <w:tcPr>
            <w:tcW w:w="720" w:type="dxa"/>
            <w:tcBorders>
              <w:top w:val="single" w:sz="6" w:space="0" w:color="auto"/>
              <w:left w:val="single" w:sz="6" w:space="0" w:color="auto"/>
              <w:bottom w:val="single" w:sz="6" w:space="0" w:color="auto"/>
              <w:right w:val="single" w:sz="6" w:space="0" w:color="auto"/>
            </w:tcBorders>
            <w:vAlign w:val="center"/>
          </w:tcPr>
          <w:p w14:paraId="25E242E7"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42D5176"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099B08E4"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11.3</w:t>
            </w:r>
          </w:p>
        </w:tc>
        <w:tc>
          <w:tcPr>
            <w:tcW w:w="720" w:type="dxa"/>
            <w:tcBorders>
              <w:top w:val="single" w:sz="6" w:space="0" w:color="auto"/>
              <w:left w:val="single" w:sz="6" w:space="0" w:color="auto"/>
              <w:bottom w:val="single" w:sz="6" w:space="0" w:color="auto"/>
              <w:right w:val="single" w:sz="6" w:space="0" w:color="auto"/>
            </w:tcBorders>
            <w:vAlign w:val="center"/>
          </w:tcPr>
          <w:p w14:paraId="1BB0D16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695DDCD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50EF0DE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76CB7228"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712C18F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n20</w:t>
            </w:r>
          </w:p>
        </w:tc>
        <w:tc>
          <w:tcPr>
            <w:tcW w:w="789" w:type="dxa"/>
            <w:tcBorders>
              <w:top w:val="single" w:sz="6" w:space="0" w:color="auto"/>
              <w:left w:val="nil"/>
              <w:bottom w:val="single" w:sz="6" w:space="0" w:color="auto"/>
              <w:right w:val="single" w:sz="6" w:space="0" w:color="auto"/>
            </w:tcBorders>
            <w:vAlign w:val="center"/>
          </w:tcPr>
          <w:p w14:paraId="43C78172"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57BDBCA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24FBC630"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69EEDFA6"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0C06D6B3"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7D673A0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C296CA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C39AA9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2B533D8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36D0F0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79E58FD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6103BCB9"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75E766EF"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4964C926"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3A85870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F9AEC2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562FD6B"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1</w:t>
            </w:r>
          </w:p>
        </w:tc>
        <w:tc>
          <w:tcPr>
            <w:tcW w:w="720" w:type="dxa"/>
            <w:tcBorders>
              <w:top w:val="single" w:sz="6" w:space="0" w:color="auto"/>
              <w:left w:val="single" w:sz="6" w:space="0" w:color="auto"/>
              <w:bottom w:val="single" w:sz="6" w:space="0" w:color="auto"/>
              <w:right w:val="single" w:sz="6" w:space="0" w:color="auto"/>
            </w:tcBorders>
            <w:vAlign w:val="center"/>
          </w:tcPr>
          <w:p w14:paraId="21A0DCDF"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1</w:t>
            </w:r>
          </w:p>
        </w:tc>
        <w:tc>
          <w:tcPr>
            <w:tcW w:w="720" w:type="dxa"/>
            <w:tcBorders>
              <w:top w:val="single" w:sz="6" w:space="0" w:color="auto"/>
              <w:left w:val="single" w:sz="6" w:space="0" w:color="auto"/>
              <w:bottom w:val="single" w:sz="6" w:space="0" w:color="auto"/>
              <w:right w:val="single" w:sz="6" w:space="0" w:color="auto"/>
            </w:tcBorders>
            <w:vAlign w:val="center"/>
          </w:tcPr>
          <w:p w14:paraId="3346192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234095B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FBD249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16317FC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04000E1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1128B06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24407BC0"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676C0196"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n25</w:t>
            </w:r>
          </w:p>
        </w:tc>
        <w:tc>
          <w:tcPr>
            <w:tcW w:w="789" w:type="dxa"/>
            <w:tcBorders>
              <w:top w:val="single" w:sz="6" w:space="0" w:color="auto"/>
              <w:left w:val="nil"/>
              <w:bottom w:val="single" w:sz="6" w:space="0" w:color="auto"/>
              <w:right w:val="single" w:sz="6" w:space="0" w:color="auto"/>
            </w:tcBorders>
            <w:vAlign w:val="center"/>
          </w:tcPr>
          <w:p w14:paraId="3585C56A"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67F338E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78DA644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6D471099"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5A54BEFB"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002F97B4"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3CDB72D0"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48</w:t>
            </w:r>
          </w:p>
        </w:tc>
        <w:tc>
          <w:tcPr>
            <w:tcW w:w="720" w:type="dxa"/>
            <w:tcBorders>
              <w:top w:val="single" w:sz="6" w:space="0" w:color="auto"/>
              <w:left w:val="single" w:sz="6" w:space="0" w:color="auto"/>
              <w:bottom w:val="single" w:sz="6" w:space="0" w:color="auto"/>
              <w:right w:val="single" w:sz="6" w:space="0" w:color="auto"/>
            </w:tcBorders>
            <w:vAlign w:val="center"/>
          </w:tcPr>
          <w:p w14:paraId="49D065A9"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40</w:t>
            </w:r>
          </w:p>
        </w:tc>
        <w:tc>
          <w:tcPr>
            <w:tcW w:w="720" w:type="dxa"/>
            <w:tcBorders>
              <w:top w:val="single" w:sz="6" w:space="0" w:color="auto"/>
              <w:left w:val="single" w:sz="6" w:space="0" w:color="auto"/>
              <w:bottom w:val="single" w:sz="6" w:space="0" w:color="auto"/>
              <w:right w:val="single" w:sz="6" w:space="0" w:color="auto"/>
            </w:tcBorders>
            <w:vAlign w:val="center"/>
          </w:tcPr>
          <w:p w14:paraId="5AD8F349"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40</w:t>
            </w:r>
          </w:p>
        </w:tc>
        <w:tc>
          <w:tcPr>
            <w:tcW w:w="720" w:type="dxa"/>
            <w:tcBorders>
              <w:top w:val="single" w:sz="6" w:space="0" w:color="auto"/>
              <w:left w:val="single" w:sz="6" w:space="0" w:color="auto"/>
              <w:bottom w:val="single" w:sz="6" w:space="0" w:color="auto"/>
              <w:right w:val="single" w:sz="6" w:space="0" w:color="auto"/>
            </w:tcBorders>
            <w:vAlign w:val="center"/>
          </w:tcPr>
          <w:p w14:paraId="4FFA3121"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40</w:t>
            </w:r>
          </w:p>
        </w:tc>
        <w:tc>
          <w:tcPr>
            <w:tcW w:w="726" w:type="dxa"/>
            <w:tcBorders>
              <w:top w:val="single" w:sz="6" w:space="0" w:color="auto"/>
              <w:left w:val="single" w:sz="6" w:space="0" w:color="auto"/>
              <w:bottom w:val="single" w:sz="6" w:space="0" w:color="auto"/>
              <w:right w:val="single" w:sz="12" w:space="0" w:color="auto"/>
            </w:tcBorders>
            <w:vAlign w:val="center"/>
          </w:tcPr>
          <w:p w14:paraId="4C3B914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5EE37A5A"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58D8485E"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7C5D3342"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1E84678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883BBD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0CB2517"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1C5ABD5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01EB89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159BD6EA"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6.2</w:t>
            </w:r>
          </w:p>
        </w:tc>
        <w:tc>
          <w:tcPr>
            <w:tcW w:w="720" w:type="dxa"/>
            <w:tcBorders>
              <w:top w:val="single" w:sz="6" w:space="0" w:color="auto"/>
              <w:left w:val="single" w:sz="6" w:space="0" w:color="auto"/>
              <w:bottom w:val="single" w:sz="6" w:space="0" w:color="auto"/>
              <w:right w:val="single" w:sz="6" w:space="0" w:color="auto"/>
            </w:tcBorders>
            <w:vAlign w:val="center"/>
          </w:tcPr>
          <w:p w14:paraId="16909DFC"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6</w:t>
            </w:r>
          </w:p>
        </w:tc>
        <w:tc>
          <w:tcPr>
            <w:tcW w:w="720" w:type="dxa"/>
            <w:tcBorders>
              <w:top w:val="single" w:sz="6" w:space="0" w:color="auto"/>
              <w:left w:val="single" w:sz="6" w:space="0" w:color="auto"/>
              <w:bottom w:val="single" w:sz="6" w:space="0" w:color="auto"/>
              <w:right w:val="single" w:sz="6" w:space="0" w:color="auto"/>
            </w:tcBorders>
            <w:vAlign w:val="center"/>
          </w:tcPr>
          <w:p w14:paraId="45099142"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7.6</w:t>
            </w:r>
          </w:p>
        </w:tc>
        <w:tc>
          <w:tcPr>
            <w:tcW w:w="720" w:type="dxa"/>
            <w:tcBorders>
              <w:top w:val="single" w:sz="6" w:space="0" w:color="auto"/>
              <w:left w:val="single" w:sz="6" w:space="0" w:color="auto"/>
              <w:bottom w:val="single" w:sz="6" w:space="0" w:color="auto"/>
              <w:right w:val="single" w:sz="6" w:space="0" w:color="auto"/>
            </w:tcBorders>
            <w:vAlign w:val="center"/>
          </w:tcPr>
          <w:p w14:paraId="1B165A1C"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9</w:t>
            </w:r>
          </w:p>
        </w:tc>
        <w:tc>
          <w:tcPr>
            <w:tcW w:w="726" w:type="dxa"/>
            <w:tcBorders>
              <w:top w:val="single" w:sz="6" w:space="0" w:color="auto"/>
              <w:left w:val="single" w:sz="6" w:space="0" w:color="auto"/>
              <w:bottom w:val="single" w:sz="6" w:space="0" w:color="auto"/>
              <w:right w:val="single" w:sz="12" w:space="0" w:color="auto"/>
            </w:tcBorders>
            <w:vAlign w:val="center"/>
          </w:tcPr>
          <w:p w14:paraId="438BA27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46E18228"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57D9BC77"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n28</w:t>
            </w:r>
          </w:p>
        </w:tc>
        <w:tc>
          <w:tcPr>
            <w:tcW w:w="789" w:type="dxa"/>
            <w:tcBorders>
              <w:top w:val="single" w:sz="6" w:space="0" w:color="auto"/>
              <w:left w:val="nil"/>
              <w:bottom w:val="single" w:sz="6" w:space="0" w:color="auto"/>
              <w:right w:val="single" w:sz="6" w:space="0" w:color="auto"/>
            </w:tcBorders>
            <w:vAlign w:val="center"/>
          </w:tcPr>
          <w:p w14:paraId="571FFF0A"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01880C5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5B4EE436"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7C95CDB2"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1A01286B"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39784300"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5AF1E55"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3A2B79B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0E975B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0754C5B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5A31E31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1CF64642"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544B1717"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5FC1B009"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248B2B9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A138C3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AF7878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516320F"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1.4</w:t>
            </w:r>
          </w:p>
        </w:tc>
        <w:tc>
          <w:tcPr>
            <w:tcW w:w="720" w:type="dxa"/>
            <w:tcBorders>
              <w:top w:val="single" w:sz="6" w:space="0" w:color="auto"/>
              <w:left w:val="single" w:sz="6" w:space="0" w:color="auto"/>
              <w:bottom w:val="single" w:sz="6" w:space="0" w:color="auto"/>
              <w:right w:val="single" w:sz="6" w:space="0" w:color="auto"/>
            </w:tcBorders>
            <w:vAlign w:val="center"/>
          </w:tcPr>
          <w:p w14:paraId="6F8B4D40"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4E1F8E5B"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11.9</w:t>
            </w:r>
          </w:p>
        </w:tc>
        <w:tc>
          <w:tcPr>
            <w:tcW w:w="720" w:type="dxa"/>
            <w:tcBorders>
              <w:top w:val="single" w:sz="6" w:space="0" w:color="auto"/>
              <w:left w:val="single" w:sz="6" w:space="0" w:color="auto"/>
              <w:bottom w:val="single" w:sz="6" w:space="0" w:color="auto"/>
              <w:right w:val="single" w:sz="6" w:space="0" w:color="auto"/>
            </w:tcBorders>
            <w:vAlign w:val="center"/>
          </w:tcPr>
          <w:p w14:paraId="2BA5078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51DE6E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172F521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0D6CAB5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72C00DD8"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2EF20C0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n66</w:t>
            </w:r>
          </w:p>
        </w:tc>
        <w:tc>
          <w:tcPr>
            <w:tcW w:w="789" w:type="dxa"/>
            <w:tcBorders>
              <w:top w:val="single" w:sz="6" w:space="0" w:color="auto"/>
              <w:left w:val="nil"/>
              <w:bottom w:val="single" w:sz="6" w:space="0" w:color="auto"/>
              <w:right w:val="single" w:sz="6" w:space="0" w:color="auto"/>
            </w:tcBorders>
            <w:vAlign w:val="center"/>
          </w:tcPr>
          <w:p w14:paraId="16C4F96F"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1DA1DF5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660188B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63E676D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75</w:t>
            </w:r>
          </w:p>
        </w:tc>
        <w:tc>
          <w:tcPr>
            <w:tcW w:w="720" w:type="dxa"/>
            <w:tcBorders>
              <w:top w:val="single" w:sz="6" w:space="0" w:color="auto"/>
              <w:left w:val="single" w:sz="6" w:space="0" w:color="auto"/>
              <w:bottom w:val="single" w:sz="6" w:space="0" w:color="auto"/>
              <w:right w:val="single" w:sz="6" w:space="0" w:color="auto"/>
            </w:tcBorders>
            <w:vAlign w:val="center"/>
          </w:tcPr>
          <w:p w14:paraId="1B6B312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100</w:t>
            </w:r>
          </w:p>
        </w:tc>
        <w:tc>
          <w:tcPr>
            <w:tcW w:w="720" w:type="dxa"/>
            <w:tcBorders>
              <w:top w:val="single" w:sz="6" w:space="0" w:color="auto"/>
              <w:left w:val="single" w:sz="6" w:space="0" w:color="auto"/>
              <w:bottom w:val="single" w:sz="6" w:space="0" w:color="auto"/>
              <w:right w:val="single" w:sz="6" w:space="0" w:color="auto"/>
            </w:tcBorders>
            <w:vAlign w:val="center"/>
          </w:tcPr>
          <w:p w14:paraId="7A49DE2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128</w:t>
            </w:r>
          </w:p>
        </w:tc>
        <w:tc>
          <w:tcPr>
            <w:tcW w:w="720" w:type="dxa"/>
            <w:tcBorders>
              <w:top w:val="single" w:sz="6" w:space="0" w:color="auto"/>
              <w:left w:val="single" w:sz="6" w:space="0" w:color="auto"/>
              <w:bottom w:val="single" w:sz="6" w:space="0" w:color="auto"/>
              <w:right w:val="single" w:sz="6" w:space="0" w:color="auto"/>
            </w:tcBorders>
            <w:vAlign w:val="center"/>
          </w:tcPr>
          <w:p w14:paraId="7EDCDD27"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160</w:t>
            </w:r>
          </w:p>
        </w:tc>
        <w:tc>
          <w:tcPr>
            <w:tcW w:w="720" w:type="dxa"/>
            <w:tcBorders>
              <w:top w:val="single" w:sz="6" w:space="0" w:color="auto"/>
              <w:left w:val="single" w:sz="6" w:space="0" w:color="auto"/>
              <w:bottom w:val="single" w:sz="6" w:space="0" w:color="auto"/>
              <w:right w:val="single" w:sz="6" w:space="0" w:color="auto"/>
            </w:tcBorders>
            <w:vAlign w:val="center"/>
          </w:tcPr>
          <w:p w14:paraId="7A1D109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180</w:t>
            </w:r>
          </w:p>
        </w:tc>
        <w:tc>
          <w:tcPr>
            <w:tcW w:w="720" w:type="dxa"/>
            <w:tcBorders>
              <w:top w:val="single" w:sz="6" w:space="0" w:color="auto"/>
              <w:left w:val="single" w:sz="6" w:space="0" w:color="auto"/>
              <w:bottom w:val="single" w:sz="6" w:space="0" w:color="auto"/>
              <w:right w:val="single" w:sz="6" w:space="0" w:color="auto"/>
            </w:tcBorders>
            <w:vAlign w:val="center"/>
          </w:tcPr>
          <w:p w14:paraId="4812283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216</w:t>
            </w:r>
          </w:p>
        </w:tc>
        <w:tc>
          <w:tcPr>
            <w:tcW w:w="720" w:type="dxa"/>
            <w:tcBorders>
              <w:top w:val="single" w:sz="6" w:space="0" w:color="auto"/>
              <w:left w:val="single" w:sz="6" w:space="0" w:color="auto"/>
              <w:bottom w:val="single" w:sz="6" w:space="0" w:color="auto"/>
              <w:right w:val="single" w:sz="6" w:space="0" w:color="auto"/>
            </w:tcBorders>
            <w:vAlign w:val="center"/>
          </w:tcPr>
          <w:p w14:paraId="7B9E1BE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240</w:t>
            </w:r>
          </w:p>
        </w:tc>
        <w:tc>
          <w:tcPr>
            <w:tcW w:w="726" w:type="dxa"/>
            <w:tcBorders>
              <w:top w:val="single" w:sz="6" w:space="0" w:color="auto"/>
              <w:left w:val="single" w:sz="6" w:space="0" w:color="auto"/>
              <w:bottom w:val="single" w:sz="6" w:space="0" w:color="auto"/>
              <w:right w:val="single" w:sz="12" w:space="0" w:color="auto"/>
            </w:tcBorders>
            <w:vAlign w:val="center"/>
          </w:tcPr>
          <w:p w14:paraId="7BA136C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78028A85"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4CDFFA4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479225ED"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4CC5D9A7"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D3BAC5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5505DA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726934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DED1E6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CB428D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68E93D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6CAAEF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8A7305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6" w:type="dxa"/>
            <w:tcBorders>
              <w:top w:val="single" w:sz="6" w:space="0" w:color="auto"/>
              <w:left w:val="single" w:sz="6" w:space="0" w:color="auto"/>
              <w:bottom w:val="single" w:sz="6" w:space="0" w:color="auto"/>
              <w:right w:val="single" w:sz="12" w:space="0" w:color="auto"/>
            </w:tcBorders>
            <w:vAlign w:val="center"/>
          </w:tcPr>
          <w:p w14:paraId="30F6680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67A8E496"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1488FB51"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n71</w:t>
            </w:r>
          </w:p>
        </w:tc>
        <w:tc>
          <w:tcPr>
            <w:tcW w:w="789" w:type="dxa"/>
            <w:tcBorders>
              <w:top w:val="single" w:sz="6" w:space="0" w:color="auto"/>
              <w:left w:val="nil"/>
              <w:bottom w:val="single" w:sz="6" w:space="0" w:color="auto"/>
              <w:right w:val="single" w:sz="6" w:space="0" w:color="auto"/>
            </w:tcBorders>
            <w:vAlign w:val="center"/>
          </w:tcPr>
          <w:p w14:paraId="661E1496"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nil"/>
              <w:right w:val="single" w:sz="6" w:space="0" w:color="auto"/>
            </w:tcBorders>
            <w:vAlign w:val="center"/>
          </w:tcPr>
          <w:p w14:paraId="2B08A73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nil"/>
              <w:right w:val="single" w:sz="6" w:space="0" w:color="auto"/>
            </w:tcBorders>
            <w:vAlign w:val="center"/>
          </w:tcPr>
          <w:p w14:paraId="0604CCD2"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25</w:t>
            </w:r>
          </w:p>
        </w:tc>
        <w:tc>
          <w:tcPr>
            <w:tcW w:w="720" w:type="dxa"/>
            <w:tcBorders>
              <w:top w:val="single" w:sz="6" w:space="0" w:color="auto"/>
              <w:left w:val="single" w:sz="6" w:space="0" w:color="auto"/>
              <w:bottom w:val="nil"/>
              <w:right w:val="single" w:sz="6" w:space="0" w:color="auto"/>
            </w:tcBorders>
            <w:vAlign w:val="center"/>
          </w:tcPr>
          <w:p w14:paraId="013238DC"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nil"/>
              <w:right w:val="single" w:sz="6" w:space="0" w:color="auto"/>
            </w:tcBorders>
            <w:vAlign w:val="center"/>
          </w:tcPr>
          <w:p w14:paraId="7EBBF59B"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nil"/>
              <w:right w:val="single" w:sz="6" w:space="0" w:color="auto"/>
            </w:tcBorders>
            <w:vAlign w:val="center"/>
          </w:tcPr>
          <w:p w14:paraId="0BCA4987"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p>
        </w:tc>
        <w:tc>
          <w:tcPr>
            <w:tcW w:w="720" w:type="dxa"/>
            <w:tcBorders>
              <w:top w:val="single" w:sz="6" w:space="0" w:color="auto"/>
              <w:left w:val="single" w:sz="6" w:space="0" w:color="auto"/>
              <w:bottom w:val="nil"/>
              <w:right w:val="single" w:sz="6" w:space="0" w:color="auto"/>
            </w:tcBorders>
            <w:vAlign w:val="center"/>
          </w:tcPr>
          <w:p w14:paraId="6A73759D"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p>
        </w:tc>
        <w:tc>
          <w:tcPr>
            <w:tcW w:w="720" w:type="dxa"/>
            <w:tcBorders>
              <w:top w:val="single" w:sz="6" w:space="0" w:color="auto"/>
              <w:left w:val="single" w:sz="6" w:space="0" w:color="auto"/>
              <w:bottom w:val="nil"/>
              <w:right w:val="single" w:sz="6" w:space="0" w:color="auto"/>
            </w:tcBorders>
            <w:vAlign w:val="center"/>
          </w:tcPr>
          <w:p w14:paraId="6A74035D" w14:textId="77777777" w:rsidR="005A49C4" w:rsidRPr="00AB2108" w:rsidRDefault="005A49C4">
            <w:pPr>
              <w:autoSpaceDE w:val="0"/>
              <w:autoSpaceDN w:val="0"/>
              <w:adjustRightInd w:val="0"/>
              <w:spacing w:after="0"/>
              <w:jc w:val="center"/>
              <w:rPr>
                <w:rFonts w:ascii="Calibri" w:hAnsi="Calibri" w:cs="Calibri"/>
                <w:color w:val="0070C0"/>
                <w:sz w:val="18"/>
                <w:szCs w:val="18"/>
                <w:lang w:val="en-US" w:eastAsia="en-GB"/>
              </w:rPr>
            </w:pPr>
            <w:r w:rsidRPr="00AB2108">
              <w:rPr>
                <w:rFonts w:ascii="Calibri" w:hAnsi="Calibri" w:cs="Calibri"/>
                <w:color w:val="0070C0"/>
                <w:sz w:val="18"/>
                <w:szCs w:val="18"/>
                <w:lang w:val="en-US" w:eastAsia="en-GB"/>
              </w:rPr>
              <w:t>20</w:t>
            </w:r>
          </w:p>
        </w:tc>
        <w:tc>
          <w:tcPr>
            <w:tcW w:w="720" w:type="dxa"/>
            <w:tcBorders>
              <w:top w:val="single" w:sz="6" w:space="0" w:color="auto"/>
              <w:left w:val="single" w:sz="6" w:space="0" w:color="auto"/>
              <w:bottom w:val="nil"/>
              <w:right w:val="single" w:sz="6" w:space="0" w:color="auto"/>
            </w:tcBorders>
            <w:vAlign w:val="center"/>
          </w:tcPr>
          <w:p w14:paraId="7FB2063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nil"/>
              <w:right w:val="single" w:sz="6" w:space="0" w:color="auto"/>
            </w:tcBorders>
            <w:vAlign w:val="center"/>
          </w:tcPr>
          <w:p w14:paraId="6BA62AD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nil"/>
              <w:right w:val="single" w:sz="12" w:space="0" w:color="auto"/>
            </w:tcBorders>
            <w:vAlign w:val="center"/>
          </w:tcPr>
          <w:p w14:paraId="60C7AF9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46BCFA5B" w14:textId="77777777" w:rsidTr="00702A62">
        <w:trPr>
          <w:trHeight w:val="288"/>
          <w:jc w:val="center"/>
        </w:trPr>
        <w:tc>
          <w:tcPr>
            <w:tcW w:w="810" w:type="dxa"/>
            <w:vMerge/>
            <w:tcBorders>
              <w:left w:val="single" w:sz="12" w:space="0" w:color="auto"/>
              <w:bottom w:val="single" w:sz="12" w:space="0" w:color="auto"/>
              <w:right w:val="single" w:sz="6" w:space="0" w:color="auto"/>
            </w:tcBorders>
            <w:vAlign w:val="center"/>
          </w:tcPr>
          <w:p w14:paraId="5556446E"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single" w:sz="6" w:space="0" w:color="auto"/>
              <w:bottom w:val="single" w:sz="12" w:space="0" w:color="auto"/>
              <w:right w:val="single" w:sz="6" w:space="0" w:color="auto"/>
            </w:tcBorders>
            <w:vAlign w:val="center"/>
          </w:tcPr>
          <w:p w14:paraId="698C060D"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12" w:space="0" w:color="auto"/>
              <w:right w:val="single" w:sz="6" w:space="0" w:color="auto"/>
            </w:tcBorders>
            <w:vAlign w:val="center"/>
          </w:tcPr>
          <w:p w14:paraId="3BD1159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12" w:space="0" w:color="auto"/>
              <w:right w:val="single" w:sz="6" w:space="0" w:color="auto"/>
            </w:tcBorders>
            <w:vAlign w:val="center"/>
          </w:tcPr>
          <w:p w14:paraId="5F36E94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12" w:space="0" w:color="auto"/>
              <w:right w:val="single" w:sz="6" w:space="0" w:color="auto"/>
            </w:tcBorders>
            <w:vAlign w:val="center"/>
          </w:tcPr>
          <w:p w14:paraId="58A0EA77"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0.6</w:t>
            </w:r>
          </w:p>
        </w:tc>
        <w:tc>
          <w:tcPr>
            <w:tcW w:w="720" w:type="dxa"/>
            <w:tcBorders>
              <w:top w:val="single" w:sz="6" w:space="0" w:color="auto"/>
              <w:left w:val="single" w:sz="6" w:space="0" w:color="auto"/>
              <w:bottom w:val="single" w:sz="12" w:space="0" w:color="auto"/>
              <w:right w:val="single" w:sz="6" w:space="0" w:color="auto"/>
            </w:tcBorders>
            <w:vAlign w:val="center"/>
          </w:tcPr>
          <w:p w14:paraId="304FB99D"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4.9</w:t>
            </w:r>
          </w:p>
        </w:tc>
        <w:tc>
          <w:tcPr>
            <w:tcW w:w="720" w:type="dxa"/>
            <w:tcBorders>
              <w:top w:val="single" w:sz="6" w:space="0" w:color="auto"/>
              <w:left w:val="single" w:sz="6" w:space="0" w:color="auto"/>
              <w:bottom w:val="single" w:sz="12" w:space="0" w:color="auto"/>
              <w:right w:val="single" w:sz="6" w:space="0" w:color="auto"/>
            </w:tcBorders>
            <w:vAlign w:val="center"/>
          </w:tcPr>
          <w:p w14:paraId="7D908277"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p>
        </w:tc>
        <w:tc>
          <w:tcPr>
            <w:tcW w:w="720" w:type="dxa"/>
            <w:tcBorders>
              <w:top w:val="single" w:sz="6" w:space="0" w:color="auto"/>
              <w:left w:val="single" w:sz="6" w:space="0" w:color="auto"/>
              <w:bottom w:val="single" w:sz="12" w:space="0" w:color="auto"/>
              <w:right w:val="single" w:sz="6" w:space="0" w:color="auto"/>
            </w:tcBorders>
            <w:vAlign w:val="center"/>
          </w:tcPr>
          <w:p w14:paraId="2BEA058B"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p>
        </w:tc>
        <w:tc>
          <w:tcPr>
            <w:tcW w:w="720" w:type="dxa"/>
            <w:tcBorders>
              <w:top w:val="single" w:sz="6" w:space="0" w:color="auto"/>
              <w:left w:val="single" w:sz="6" w:space="0" w:color="auto"/>
              <w:bottom w:val="single" w:sz="12" w:space="0" w:color="auto"/>
              <w:right w:val="single" w:sz="6" w:space="0" w:color="auto"/>
            </w:tcBorders>
            <w:vAlign w:val="center"/>
          </w:tcPr>
          <w:p w14:paraId="4BE37824"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7.7</w:t>
            </w:r>
          </w:p>
        </w:tc>
        <w:tc>
          <w:tcPr>
            <w:tcW w:w="720" w:type="dxa"/>
            <w:tcBorders>
              <w:top w:val="single" w:sz="6" w:space="0" w:color="auto"/>
              <w:left w:val="single" w:sz="6" w:space="0" w:color="auto"/>
              <w:bottom w:val="single" w:sz="12" w:space="0" w:color="auto"/>
              <w:right w:val="single" w:sz="6" w:space="0" w:color="auto"/>
            </w:tcBorders>
            <w:vAlign w:val="center"/>
          </w:tcPr>
          <w:p w14:paraId="7084E45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12" w:space="0" w:color="auto"/>
              <w:right w:val="single" w:sz="6" w:space="0" w:color="auto"/>
            </w:tcBorders>
            <w:vAlign w:val="center"/>
          </w:tcPr>
          <w:p w14:paraId="35384FE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12" w:space="0" w:color="auto"/>
              <w:right w:val="single" w:sz="12" w:space="0" w:color="auto"/>
            </w:tcBorders>
            <w:vAlign w:val="center"/>
          </w:tcPr>
          <w:p w14:paraId="4C5DD4E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bl>
    <w:p w14:paraId="0A627364" w14:textId="5AE2A2B4" w:rsidR="00836151" w:rsidRDefault="00836151" w:rsidP="0073496B">
      <w:pPr>
        <w:spacing w:after="0"/>
        <w:jc w:val="both"/>
        <w:rPr>
          <w:rFonts w:ascii="Arial" w:hAnsi="Arial" w:cs="Arial"/>
        </w:rPr>
      </w:pPr>
    </w:p>
    <w:p w14:paraId="4388BD0A" w14:textId="0D83E4D9" w:rsidR="00702A62" w:rsidRDefault="00702A62" w:rsidP="00644C14">
      <w:pPr>
        <w:spacing w:after="120"/>
        <w:jc w:val="center"/>
        <w:rPr>
          <w:rFonts w:ascii="Arial" w:hAnsi="Arial" w:cs="Arial"/>
        </w:rPr>
      </w:pPr>
      <w:r>
        <w:rPr>
          <w:rFonts w:ascii="Arial" w:hAnsi="Arial" w:cs="Arial"/>
          <w:b/>
        </w:rPr>
        <w:t xml:space="preserve">Table 2.2-1 </w:t>
      </w:r>
      <w:r w:rsidR="00644C14">
        <w:rPr>
          <w:rFonts w:ascii="Arial" w:hAnsi="Arial" w:cs="Arial"/>
          <w:b/>
        </w:rPr>
        <w:t>Example FDD bands with or without UL RB allocation restriction for REFSENS</w:t>
      </w:r>
    </w:p>
    <w:p w14:paraId="33D7A977" w14:textId="77777777" w:rsidR="00836151" w:rsidRDefault="00836151" w:rsidP="0073496B">
      <w:pPr>
        <w:spacing w:after="0"/>
        <w:jc w:val="both"/>
        <w:rPr>
          <w:rFonts w:ascii="Arial" w:hAnsi="Arial" w:cs="Arial"/>
        </w:rPr>
      </w:pPr>
    </w:p>
    <w:p w14:paraId="305D05AE" w14:textId="24438C9D" w:rsidR="0073496B" w:rsidRDefault="00754854" w:rsidP="00754854">
      <w:pPr>
        <w:spacing w:after="120"/>
        <w:jc w:val="both"/>
        <w:rPr>
          <w:rFonts w:ascii="Arial" w:hAnsi="Arial" w:cs="Arial"/>
        </w:rPr>
      </w:pPr>
      <w:r w:rsidRPr="00D00BA3">
        <w:rPr>
          <w:rFonts w:ascii="Arial" w:hAnsi="Arial" w:cs="Arial"/>
          <w:b/>
          <w:bCs/>
          <w:i/>
          <w:iCs/>
        </w:rPr>
        <w:t xml:space="preserve">Observation </w:t>
      </w:r>
      <w:r w:rsidR="00C67E71">
        <w:rPr>
          <w:rFonts w:ascii="Arial" w:hAnsi="Arial" w:cs="Arial"/>
          <w:b/>
          <w:bCs/>
          <w:i/>
          <w:iCs/>
        </w:rPr>
        <w:t>2</w:t>
      </w:r>
      <w:r w:rsidRPr="00D00BA3">
        <w:rPr>
          <w:rFonts w:ascii="Arial" w:hAnsi="Arial" w:cs="Arial"/>
          <w:i/>
          <w:iCs/>
        </w:rPr>
        <w:t>:</w:t>
      </w:r>
      <w:r w:rsidR="005A5605">
        <w:rPr>
          <w:rFonts w:ascii="Arial" w:hAnsi="Arial" w:cs="Arial"/>
        </w:rPr>
        <w:t xml:space="preserve"> </w:t>
      </w:r>
      <w:r w:rsidRPr="00754854">
        <w:rPr>
          <w:rFonts w:ascii="Arial" w:hAnsi="Arial" w:cs="Arial"/>
          <w:i/>
          <w:iCs/>
        </w:rPr>
        <w:t xml:space="preserve">For FDD bands with narrow duplex </w:t>
      </w:r>
      <w:r w:rsidR="00ED2654">
        <w:rPr>
          <w:rFonts w:ascii="Arial" w:hAnsi="Arial" w:cs="Arial"/>
          <w:i/>
          <w:iCs/>
        </w:rPr>
        <w:t>gap</w:t>
      </w:r>
      <w:r w:rsidRPr="00754854">
        <w:rPr>
          <w:rFonts w:ascii="Arial" w:hAnsi="Arial" w:cs="Arial"/>
          <w:i/>
          <w:iCs/>
        </w:rPr>
        <w:t>, further UL RB allocation restriction may be needed under HPUE operation to prevent REFSENS degradation which could render a countereffect on having HPUE to improve UL throughput near the cell edge as motivated by this study item.</w:t>
      </w:r>
      <w:r w:rsidR="005A5605">
        <w:rPr>
          <w:rFonts w:ascii="Arial" w:hAnsi="Arial" w:cs="Arial"/>
        </w:rPr>
        <w:t xml:space="preserve"> </w:t>
      </w:r>
      <w:r w:rsidR="001C56BD">
        <w:rPr>
          <w:rFonts w:ascii="Arial" w:hAnsi="Arial" w:cs="Arial"/>
        </w:rPr>
        <w:t xml:space="preserve"> </w:t>
      </w:r>
      <w:r w:rsidR="006D14CE">
        <w:rPr>
          <w:rFonts w:ascii="Arial" w:hAnsi="Arial" w:cs="Arial"/>
        </w:rPr>
        <w:t xml:space="preserve">  </w:t>
      </w:r>
    </w:p>
    <w:p w14:paraId="08E0F71B" w14:textId="0999B26A" w:rsidR="00AB2108" w:rsidRDefault="00AB2108" w:rsidP="0073496B">
      <w:pPr>
        <w:spacing w:after="0"/>
        <w:jc w:val="both"/>
        <w:rPr>
          <w:rFonts w:ascii="Arial" w:hAnsi="Arial" w:cs="Arial"/>
        </w:rPr>
      </w:pPr>
      <w:r>
        <w:rPr>
          <w:rFonts w:ascii="Arial" w:hAnsi="Arial" w:cs="Arial"/>
        </w:rPr>
        <w:lastRenderedPageBreak/>
        <w:t xml:space="preserve">To realize the potential REFSENS impact under various UL allocations, we have a companion contribution in this meeting to evaluate MSD for n3 with UL/DL channel BW at 30MHz/30MHz, 40MHz/40MHz, 50MHz/50MHz and n8 with UL/DL channel BW at </w:t>
      </w:r>
      <w:r w:rsidR="006F6B6E">
        <w:rPr>
          <w:rFonts w:ascii="Arial" w:hAnsi="Arial" w:cs="Arial"/>
        </w:rPr>
        <w:t>2</w:t>
      </w:r>
      <w:r>
        <w:rPr>
          <w:rFonts w:ascii="Arial" w:hAnsi="Arial" w:cs="Arial"/>
        </w:rPr>
        <w:t>0MHz/3</w:t>
      </w:r>
      <w:r w:rsidR="006F6B6E">
        <w:rPr>
          <w:rFonts w:ascii="Arial" w:hAnsi="Arial" w:cs="Arial"/>
        </w:rPr>
        <w:t>5</w:t>
      </w:r>
      <w:r>
        <w:rPr>
          <w:rFonts w:ascii="Arial" w:hAnsi="Arial" w:cs="Arial"/>
        </w:rPr>
        <w:t>MHz [5], there we have the following observations:</w:t>
      </w:r>
    </w:p>
    <w:p w14:paraId="46B1BB1A" w14:textId="77777777" w:rsidR="00AB2108" w:rsidRDefault="00AB2108" w:rsidP="0073496B">
      <w:pPr>
        <w:spacing w:after="0"/>
        <w:jc w:val="both"/>
        <w:rPr>
          <w:rFonts w:ascii="Arial" w:hAnsi="Arial" w:cs="Arial"/>
        </w:rPr>
      </w:pPr>
    </w:p>
    <w:p w14:paraId="6CCB10D2" w14:textId="719CBD85" w:rsidR="0073496B" w:rsidRPr="00AB2108" w:rsidRDefault="00AB2108" w:rsidP="00AB2108">
      <w:pPr>
        <w:pStyle w:val="ListParagraph"/>
        <w:numPr>
          <w:ilvl w:val="0"/>
          <w:numId w:val="18"/>
        </w:numPr>
        <w:spacing w:after="120"/>
        <w:ind w:left="835"/>
        <w:jc w:val="both"/>
        <w:rPr>
          <w:rFonts w:ascii="Arial" w:hAnsi="Arial" w:cs="Arial"/>
        </w:rPr>
      </w:pPr>
      <w:r w:rsidRPr="00AB2108">
        <w:rPr>
          <w:rFonts w:ascii="Arial" w:hAnsi="Arial" w:cs="Arial"/>
        </w:rPr>
        <w:t>For n3 at 30MHz channel BW, the MSD can be up to 12 dB.</w:t>
      </w:r>
    </w:p>
    <w:p w14:paraId="251F9D24" w14:textId="67BEFC47" w:rsidR="00AB2108" w:rsidRPr="00AB2108" w:rsidRDefault="00AB2108" w:rsidP="00AB2108">
      <w:pPr>
        <w:pStyle w:val="ListParagraph"/>
        <w:numPr>
          <w:ilvl w:val="0"/>
          <w:numId w:val="18"/>
        </w:numPr>
        <w:spacing w:after="120"/>
        <w:ind w:left="835"/>
        <w:jc w:val="both"/>
        <w:rPr>
          <w:rFonts w:ascii="Arial" w:hAnsi="Arial" w:cs="Arial"/>
        </w:rPr>
      </w:pPr>
      <w:r w:rsidRPr="00AB2108">
        <w:rPr>
          <w:rFonts w:ascii="Arial" w:hAnsi="Arial" w:cs="Arial"/>
        </w:rPr>
        <w:t>For n3 at 40MHz channel BW, the MSD can be up to 20 dB.</w:t>
      </w:r>
    </w:p>
    <w:p w14:paraId="24E11BFE" w14:textId="4AB269B6" w:rsidR="00AB2108" w:rsidRPr="00AB2108" w:rsidRDefault="00AB2108" w:rsidP="00AB2108">
      <w:pPr>
        <w:pStyle w:val="ListParagraph"/>
        <w:numPr>
          <w:ilvl w:val="0"/>
          <w:numId w:val="18"/>
        </w:numPr>
        <w:spacing w:after="120"/>
        <w:ind w:left="835"/>
        <w:jc w:val="both"/>
        <w:rPr>
          <w:rFonts w:ascii="Arial" w:hAnsi="Arial" w:cs="Arial"/>
        </w:rPr>
      </w:pPr>
      <w:r w:rsidRPr="00AB2108">
        <w:rPr>
          <w:rFonts w:ascii="Arial" w:hAnsi="Arial" w:cs="Arial"/>
        </w:rPr>
        <w:t>For n3 at 50MHz channel BW, the MSD can be up to 25 dB.</w:t>
      </w:r>
    </w:p>
    <w:p w14:paraId="398E4C60" w14:textId="33CA776E" w:rsidR="00AB2108" w:rsidRPr="00AB2108" w:rsidRDefault="00AB2108" w:rsidP="00AB2108">
      <w:pPr>
        <w:pStyle w:val="ListParagraph"/>
        <w:numPr>
          <w:ilvl w:val="0"/>
          <w:numId w:val="18"/>
        </w:numPr>
        <w:spacing w:after="120"/>
        <w:ind w:left="835"/>
        <w:jc w:val="both"/>
        <w:rPr>
          <w:rFonts w:ascii="Arial" w:hAnsi="Arial" w:cs="Arial"/>
        </w:rPr>
      </w:pPr>
      <w:r w:rsidRPr="00AB2108">
        <w:rPr>
          <w:rFonts w:ascii="Arial" w:hAnsi="Arial" w:cs="Arial"/>
        </w:rPr>
        <w:t>For n8 at 35MHz DL channel BW, even with UL channel BW restricted to 20 MHz, the MSD can still be up to 25 dB.</w:t>
      </w:r>
    </w:p>
    <w:p w14:paraId="724933B5" w14:textId="77777777" w:rsidR="00AB2108" w:rsidRDefault="00AB2108" w:rsidP="00AB2108">
      <w:pPr>
        <w:spacing w:after="0"/>
        <w:jc w:val="both"/>
        <w:rPr>
          <w:rFonts w:ascii="Arial" w:hAnsi="Arial" w:cs="Arial"/>
        </w:rPr>
      </w:pPr>
    </w:p>
    <w:p w14:paraId="5A6527FA" w14:textId="519D50A7" w:rsidR="00AB2108" w:rsidRDefault="00AB2108" w:rsidP="00F73796">
      <w:pPr>
        <w:spacing w:after="120"/>
        <w:jc w:val="both"/>
        <w:rPr>
          <w:rFonts w:ascii="Arial" w:hAnsi="Arial" w:cs="Arial"/>
        </w:rPr>
      </w:pPr>
      <w:r>
        <w:rPr>
          <w:rFonts w:ascii="Arial" w:hAnsi="Arial" w:cs="Arial"/>
        </w:rPr>
        <w:t>And these are quite substantial REFSENS degradation.</w:t>
      </w:r>
    </w:p>
    <w:p w14:paraId="68B5397D" w14:textId="77777777" w:rsidR="00AB2108" w:rsidRDefault="00AB2108" w:rsidP="00AB2108">
      <w:pPr>
        <w:spacing w:after="0"/>
        <w:jc w:val="both"/>
        <w:rPr>
          <w:rFonts w:ascii="Arial" w:hAnsi="Arial" w:cs="Arial"/>
        </w:rPr>
      </w:pPr>
    </w:p>
    <w:p w14:paraId="287A441D" w14:textId="5F26A5D8" w:rsidR="00F73796" w:rsidRDefault="00754854" w:rsidP="00F73796">
      <w:pPr>
        <w:spacing w:after="120"/>
        <w:jc w:val="both"/>
        <w:rPr>
          <w:rFonts w:ascii="Arial" w:hAnsi="Arial" w:cs="Arial"/>
        </w:rPr>
      </w:pPr>
      <w:r>
        <w:rPr>
          <w:rFonts w:ascii="Arial" w:hAnsi="Arial" w:cs="Arial"/>
        </w:rPr>
        <w:t xml:space="preserve">Though all the aforementioned issues may hinder the development of HPUE for FDD bands, </w:t>
      </w:r>
      <w:r w:rsidR="00985C89">
        <w:rPr>
          <w:rFonts w:ascii="Arial" w:hAnsi="Arial" w:cs="Arial"/>
        </w:rPr>
        <w:t>these issues</w:t>
      </w:r>
      <w:r>
        <w:rPr>
          <w:rFonts w:ascii="Arial" w:hAnsi="Arial" w:cs="Arial"/>
        </w:rPr>
        <w:t xml:space="preserve"> can </w:t>
      </w:r>
      <w:r w:rsidR="00985C89">
        <w:rPr>
          <w:rFonts w:ascii="Arial" w:hAnsi="Arial" w:cs="Arial"/>
        </w:rPr>
        <w:t xml:space="preserve">effectively be </w:t>
      </w:r>
      <w:r>
        <w:rPr>
          <w:rFonts w:ascii="Arial" w:hAnsi="Arial" w:cs="Arial"/>
        </w:rPr>
        <w:t>resolved by</w:t>
      </w:r>
      <w:r w:rsidR="00985C89">
        <w:rPr>
          <w:rFonts w:ascii="Arial" w:hAnsi="Arial" w:cs="Arial"/>
        </w:rPr>
        <w:t xml:space="preserve"> running half-duplex operation when UL power is above power class 3 (PC3) upper limit</w:t>
      </w:r>
      <w:r w:rsidR="00F73796">
        <w:rPr>
          <w:rFonts w:ascii="Arial" w:hAnsi="Arial" w:cs="Arial"/>
        </w:rPr>
        <w:t xml:space="preserve"> </w:t>
      </w:r>
      <w:r w:rsidR="00C67E71">
        <w:rPr>
          <w:rFonts w:ascii="Arial" w:hAnsi="Arial" w:cs="Arial"/>
        </w:rPr>
        <w:t xml:space="preserve">or certain </w:t>
      </w:r>
      <w:r w:rsidR="00F67D79">
        <w:rPr>
          <w:rFonts w:ascii="Arial" w:hAnsi="Arial" w:cs="Arial"/>
        </w:rPr>
        <w:t xml:space="preserve">threshold value </w:t>
      </w:r>
      <w:r w:rsidR="00F73796">
        <w:rPr>
          <w:rFonts w:ascii="Arial" w:hAnsi="Arial" w:cs="Arial"/>
        </w:rPr>
        <w:t xml:space="preserve">as </w:t>
      </w:r>
      <w:r w:rsidR="00E12A5F">
        <w:rPr>
          <w:rFonts w:ascii="Arial" w:hAnsi="Arial" w:cs="Arial"/>
        </w:rPr>
        <w:t xml:space="preserve">is </w:t>
      </w:r>
      <w:r w:rsidR="00F73796">
        <w:rPr>
          <w:rFonts w:ascii="Arial" w:hAnsi="Arial" w:cs="Arial"/>
        </w:rPr>
        <w:t>further detailed below.</w:t>
      </w:r>
    </w:p>
    <w:p w14:paraId="4FE18FB7" w14:textId="77777777" w:rsidR="00F73796" w:rsidRDefault="00F73796" w:rsidP="0073496B">
      <w:pPr>
        <w:spacing w:after="0"/>
        <w:jc w:val="both"/>
        <w:rPr>
          <w:rFonts w:ascii="Arial" w:hAnsi="Arial" w:cs="Arial"/>
        </w:rPr>
      </w:pPr>
    </w:p>
    <w:p w14:paraId="1F9EFEAA" w14:textId="4E02F0A1" w:rsidR="00F73796" w:rsidRDefault="00F73796" w:rsidP="00F73796">
      <w:pPr>
        <w:pStyle w:val="Heading2"/>
      </w:pPr>
      <w:r>
        <w:t>2.</w:t>
      </w:r>
      <w:r w:rsidR="00C67E71">
        <w:t>3</w:t>
      </w:r>
      <w:r>
        <w:tab/>
        <w:t xml:space="preserve">Half-duplex operation for FDD bands under HPUE scenario  </w:t>
      </w:r>
    </w:p>
    <w:p w14:paraId="5A4B5C09" w14:textId="1DB55098" w:rsidR="0073496B" w:rsidRDefault="00985C89" w:rsidP="0073496B">
      <w:pPr>
        <w:spacing w:after="0"/>
        <w:jc w:val="both"/>
        <w:rPr>
          <w:rFonts w:ascii="Arial" w:hAnsi="Arial" w:cs="Arial"/>
        </w:rPr>
      </w:pPr>
      <w:r>
        <w:rPr>
          <w:rFonts w:ascii="Arial" w:hAnsi="Arial" w:cs="Arial"/>
        </w:rPr>
        <w:t xml:space="preserve"> </w:t>
      </w:r>
      <w:r w:rsidR="00754854">
        <w:rPr>
          <w:rFonts w:ascii="Arial" w:hAnsi="Arial" w:cs="Arial"/>
        </w:rPr>
        <w:t xml:space="preserve"> </w:t>
      </w:r>
    </w:p>
    <w:p w14:paraId="4808139C" w14:textId="1A52ABDC" w:rsidR="001F3B78" w:rsidRDefault="00F73796" w:rsidP="001F3B78">
      <w:pPr>
        <w:spacing w:after="120"/>
        <w:jc w:val="both"/>
        <w:rPr>
          <w:rFonts w:ascii="Arial" w:hAnsi="Arial" w:cs="Arial"/>
        </w:rPr>
      </w:pPr>
      <w:r>
        <w:rPr>
          <w:rFonts w:ascii="Arial" w:hAnsi="Arial" w:cs="Arial"/>
        </w:rPr>
        <w:t>Half-duplex operation for FDD bands has been introduced since GSM</w:t>
      </w:r>
      <w:r w:rsidR="00992247">
        <w:rPr>
          <w:rFonts w:ascii="Arial" w:hAnsi="Arial" w:cs="Arial"/>
        </w:rPr>
        <w:t xml:space="preserve"> </w:t>
      </w:r>
      <w:r>
        <w:rPr>
          <w:rFonts w:ascii="Arial" w:hAnsi="Arial" w:cs="Arial"/>
        </w:rPr>
        <w:t xml:space="preserve">and further adopted by E-UTRA for CAT-0 and MTC devices. It is also </w:t>
      </w:r>
      <w:r w:rsidR="00992247">
        <w:rPr>
          <w:rFonts w:ascii="Arial" w:hAnsi="Arial" w:cs="Arial"/>
        </w:rPr>
        <w:t xml:space="preserve">recently </w:t>
      </w:r>
      <w:r>
        <w:rPr>
          <w:rFonts w:ascii="Arial" w:hAnsi="Arial" w:cs="Arial"/>
        </w:rPr>
        <w:t xml:space="preserve">being considered </w:t>
      </w:r>
      <w:r w:rsidR="00992247">
        <w:rPr>
          <w:rFonts w:ascii="Arial" w:hAnsi="Arial" w:cs="Arial"/>
        </w:rPr>
        <w:t>by NR reduced capability (RedCap) UE devices [</w:t>
      </w:r>
      <w:r w:rsidR="00AB2108">
        <w:rPr>
          <w:rFonts w:ascii="Arial" w:hAnsi="Arial" w:cs="Arial"/>
        </w:rPr>
        <w:t>6</w:t>
      </w:r>
      <w:r w:rsidR="00992247">
        <w:rPr>
          <w:rFonts w:ascii="Arial" w:hAnsi="Arial" w:cs="Arial"/>
        </w:rPr>
        <w:t xml:space="preserve">]. The half-duplex operation for FDD bands provides the benefit of keeping away from using the higher cost and higher insertion loss duplexers, while at the expense of halving </w:t>
      </w:r>
      <w:r w:rsidR="00BC75E0">
        <w:rPr>
          <w:rFonts w:ascii="Arial" w:hAnsi="Arial" w:cs="Arial"/>
        </w:rPr>
        <w:t>the overall UE throughput</w:t>
      </w:r>
      <w:r w:rsidR="00564968">
        <w:rPr>
          <w:rFonts w:ascii="Arial" w:hAnsi="Arial" w:cs="Arial"/>
        </w:rPr>
        <w:t xml:space="preserve"> when comparing with full-duplex operation without the REFSENS </w:t>
      </w:r>
      <w:r w:rsidR="00866476">
        <w:rPr>
          <w:rFonts w:ascii="Arial" w:hAnsi="Arial" w:cs="Arial"/>
        </w:rPr>
        <w:t xml:space="preserve">impact </w:t>
      </w:r>
      <w:r w:rsidR="003B6035">
        <w:rPr>
          <w:rFonts w:ascii="Arial" w:hAnsi="Arial" w:cs="Arial"/>
        </w:rPr>
        <w:t xml:space="preserve">being </w:t>
      </w:r>
      <w:r w:rsidR="00866476">
        <w:rPr>
          <w:rFonts w:ascii="Arial" w:hAnsi="Arial" w:cs="Arial"/>
        </w:rPr>
        <w:t>considered.</w:t>
      </w:r>
      <w:r w:rsidR="00644C14">
        <w:rPr>
          <w:rFonts w:ascii="Arial" w:hAnsi="Arial" w:cs="Arial"/>
        </w:rPr>
        <w:t xml:space="preserve"> </w:t>
      </w:r>
      <w:r w:rsidR="00ED2654">
        <w:rPr>
          <w:rFonts w:ascii="Arial" w:hAnsi="Arial" w:cs="Arial"/>
        </w:rPr>
        <w:t>However, when taking into account the REFSENS impact for FDD bands with narrow duplex gap under high UL transmission power, the overall UE throughput for half-duplex operation may not necessarily worse than full-duplex operation</w:t>
      </w:r>
      <w:r w:rsidR="00AB2108">
        <w:rPr>
          <w:rFonts w:ascii="Arial" w:hAnsi="Arial" w:cs="Arial"/>
        </w:rPr>
        <w:t xml:space="preserve"> [5].</w:t>
      </w:r>
      <w:r w:rsidR="00866476">
        <w:rPr>
          <w:rFonts w:ascii="Arial" w:hAnsi="Arial" w:cs="Arial"/>
        </w:rPr>
        <w:t xml:space="preserve"> </w:t>
      </w:r>
      <w:r w:rsidR="00564968">
        <w:rPr>
          <w:rFonts w:ascii="Arial" w:hAnsi="Arial" w:cs="Arial"/>
        </w:rPr>
        <w:t xml:space="preserve"> </w:t>
      </w:r>
    </w:p>
    <w:p w14:paraId="06B9DBE1" w14:textId="77777777" w:rsidR="001F3B78" w:rsidRDefault="001F3B78" w:rsidP="0073496B">
      <w:pPr>
        <w:spacing w:after="0"/>
        <w:jc w:val="both"/>
        <w:rPr>
          <w:rFonts w:ascii="Arial" w:hAnsi="Arial" w:cs="Arial"/>
        </w:rPr>
      </w:pPr>
    </w:p>
    <w:p w14:paraId="24E1113C" w14:textId="251FA84B" w:rsidR="005515E7" w:rsidRDefault="001F3B78" w:rsidP="005515E7">
      <w:pPr>
        <w:spacing w:after="120"/>
        <w:jc w:val="both"/>
        <w:rPr>
          <w:rFonts w:ascii="Arial" w:hAnsi="Arial" w:cs="Arial"/>
        </w:rPr>
      </w:pPr>
      <w:r>
        <w:rPr>
          <w:rFonts w:ascii="Arial" w:hAnsi="Arial" w:cs="Arial"/>
        </w:rPr>
        <w:t xml:space="preserve">Like in TDD bands, the half-duplex operation in FDD bands by nature is duty-cycled </w:t>
      </w:r>
      <w:r w:rsidR="00A46D53">
        <w:rPr>
          <w:rFonts w:ascii="Arial" w:hAnsi="Arial" w:cs="Arial"/>
        </w:rPr>
        <w:t xml:space="preserve">in transmission </w:t>
      </w:r>
      <w:r>
        <w:rPr>
          <w:rFonts w:ascii="Arial" w:hAnsi="Arial" w:cs="Arial"/>
        </w:rPr>
        <w:t xml:space="preserve">which </w:t>
      </w:r>
      <w:r w:rsidR="00AB717E">
        <w:rPr>
          <w:rFonts w:ascii="Arial" w:hAnsi="Arial" w:cs="Arial"/>
        </w:rPr>
        <w:t xml:space="preserve">has </w:t>
      </w:r>
      <w:r>
        <w:rPr>
          <w:rFonts w:ascii="Arial" w:hAnsi="Arial" w:cs="Arial"/>
        </w:rPr>
        <w:t>inherently resolve</w:t>
      </w:r>
      <w:r w:rsidR="00AB717E">
        <w:rPr>
          <w:rFonts w:ascii="Arial" w:hAnsi="Arial" w:cs="Arial"/>
        </w:rPr>
        <w:t>d</w:t>
      </w:r>
      <w:r>
        <w:rPr>
          <w:rFonts w:ascii="Arial" w:hAnsi="Arial" w:cs="Arial"/>
        </w:rPr>
        <w:t xml:space="preserve"> the SAR issue </w:t>
      </w:r>
      <w:r w:rsidR="009A4C94">
        <w:rPr>
          <w:rFonts w:ascii="Arial" w:hAnsi="Arial" w:cs="Arial"/>
        </w:rPr>
        <w:t>under HPUE scenario. On the other hand, half-duplex operation also allows bypassing the high</w:t>
      </w:r>
      <w:r w:rsidR="005F282D">
        <w:rPr>
          <w:rFonts w:ascii="Arial" w:hAnsi="Arial" w:cs="Arial"/>
        </w:rPr>
        <w:t xml:space="preserve"> </w:t>
      </w:r>
      <w:r w:rsidR="009A4C94">
        <w:rPr>
          <w:rFonts w:ascii="Arial" w:hAnsi="Arial" w:cs="Arial"/>
        </w:rPr>
        <w:t>insertion loss duplexer and avoids REFSENS impact from transmit leakage</w:t>
      </w:r>
      <w:r w:rsidR="009810A7">
        <w:rPr>
          <w:rFonts w:ascii="Arial" w:hAnsi="Arial" w:cs="Arial"/>
        </w:rPr>
        <w:t>s</w:t>
      </w:r>
      <w:r w:rsidR="009A4C94">
        <w:rPr>
          <w:rFonts w:ascii="Arial" w:hAnsi="Arial" w:cs="Arial"/>
        </w:rPr>
        <w:t xml:space="preserve"> which</w:t>
      </w:r>
      <w:r w:rsidR="00AB717E">
        <w:rPr>
          <w:rFonts w:ascii="Arial" w:hAnsi="Arial" w:cs="Arial"/>
        </w:rPr>
        <w:t xml:space="preserve"> can save UL from RB allocation restriction for FDD bands with narrow duplex </w:t>
      </w:r>
      <w:r w:rsidR="00ED2654">
        <w:rPr>
          <w:rFonts w:ascii="Arial" w:hAnsi="Arial" w:cs="Arial"/>
        </w:rPr>
        <w:t>gap</w:t>
      </w:r>
      <w:r w:rsidR="003B6035">
        <w:rPr>
          <w:rFonts w:ascii="Arial" w:hAnsi="Arial" w:cs="Arial"/>
        </w:rPr>
        <w:t xml:space="preserve">. As a result, full UL RB allocation can be transmitted </w:t>
      </w:r>
      <w:r w:rsidR="00FC60B8">
        <w:rPr>
          <w:rFonts w:ascii="Arial" w:hAnsi="Arial" w:cs="Arial"/>
        </w:rPr>
        <w:t>in</w:t>
      </w:r>
      <w:r w:rsidR="003B6035">
        <w:rPr>
          <w:rFonts w:ascii="Arial" w:hAnsi="Arial" w:cs="Arial"/>
        </w:rPr>
        <w:t xml:space="preserve"> a short</w:t>
      </w:r>
      <w:r w:rsidR="00FC60B8">
        <w:rPr>
          <w:rFonts w:ascii="Arial" w:hAnsi="Arial" w:cs="Arial"/>
        </w:rPr>
        <w:t>er</w:t>
      </w:r>
      <w:r w:rsidR="003B6035">
        <w:rPr>
          <w:rFonts w:ascii="Arial" w:hAnsi="Arial" w:cs="Arial"/>
        </w:rPr>
        <w:t xml:space="preserve"> time burst to save </w:t>
      </w:r>
      <w:r w:rsidR="006F6B6E">
        <w:rPr>
          <w:rFonts w:ascii="Arial" w:hAnsi="Arial" w:cs="Arial"/>
        </w:rPr>
        <w:t xml:space="preserve">UL </w:t>
      </w:r>
      <w:r w:rsidR="003B6035">
        <w:rPr>
          <w:rFonts w:ascii="Arial" w:hAnsi="Arial" w:cs="Arial"/>
        </w:rPr>
        <w:t xml:space="preserve">power consumption as compared to </w:t>
      </w:r>
      <w:r w:rsidR="00A46D53">
        <w:rPr>
          <w:rFonts w:ascii="Arial" w:hAnsi="Arial" w:cs="Arial"/>
        </w:rPr>
        <w:t>full duplex operation</w:t>
      </w:r>
      <w:r w:rsidR="003B6035">
        <w:rPr>
          <w:rFonts w:ascii="Arial" w:hAnsi="Arial" w:cs="Arial"/>
        </w:rPr>
        <w:t xml:space="preserve"> </w:t>
      </w:r>
      <w:r w:rsidR="00FC60B8">
        <w:rPr>
          <w:rFonts w:ascii="Arial" w:hAnsi="Arial" w:cs="Arial"/>
        </w:rPr>
        <w:t xml:space="preserve">with more frequent UL transmission </w:t>
      </w:r>
      <w:r w:rsidR="003B6035">
        <w:rPr>
          <w:rFonts w:ascii="Arial" w:hAnsi="Arial" w:cs="Arial"/>
        </w:rPr>
        <w:t xml:space="preserve">due to RB </w:t>
      </w:r>
      <w:r w:rsidR="00FC60B8">
        <w:rPr>
          <w:rFonts w:ascii="Arial" w:hAnsi="Arial" w:cs="Arial"/>
        </w:rPr>
        <w:t>number</w:t>
      </w:r>
      <w:r w:rsidR="003B6035">
        <w:rPr>
          <w:rFonts w:ascii="Arial" w:hAnsi="Arial" w:cs="Arial"/>
        </w:rPr>
        <w:t xml:space="preserve"> restriction to avoid REFSENS impact</w:t>
      </w:r>
      <w:r w:rsidR="00FC60B8">
        <w:rPr>
          <w:rFonts w:ascii="Arial" w:hAnsi="Arial" w:cs="Arial"/>
        </w:rPr>
        <w:t xml:space="preserve"> under high UL transmission power.</w:t>
      </w:r>
    </w:p>
    <w:p w14:paraId="4E4DD45F" w14:textId="77777777" w:rsidR="00E12A5F" w:rsidRDefault="00E12A5F" w:rsidP="005515E7">
      <w:pPr>
        <w:spacing w:after="0"/>
        <w:jc w:val="both"/>
        <w:rPr>
          <w:rFonts w:ascii="Arial" w:hAnsi="Arial" w:cs="Arial"/>
        </w:rPr>
      </w:pPr>
    </w:p>
    <w:p w14:paraId="72AFE9C8" w14:textId="4B00EEDE" w:rsidR="00AB717E" w:rsidRDefault="00E12A5F" w:rsidP="001C2196">
      <w:pPr>
        <w:spacing w:after="120"/>
        <w:jc w:val="both"/>
        <w:rPr>
          <w:rFonts w:ascii="Arial" w:hAnsi="Arial" w:cs="Arial"/>
        </w:rPr>
      </w:pPr>
      <w:r w:rsidRPr="00D00BA3">
        <w:rPr>
          <w:rFonts w:ascii="Arial" w:hAnsi="Arial" w:cs="Arial"/>
          <w:b/>
          <w:bCs/>
          <w:i/>
          <w:iCs/>
        </w:rPr>
        <w:t xml:space="preserve">Observation </w:t>
      </w:r>
      <w:r w:rsidR="00F34985">
        <w:rPr>
          <w:rFonts w:ascii="Arial" w:hAnsi="Arial" w:cs="Arial"/>
          <w:b/>
          <w:bCs/>
          <w:i/>
          <w:iCs/>
        </w:rPr>
        <w:t>3</w:t>
      </w:r>
      <w:r w:rsidRPr="00D00BA3">
        <w:rPr>
          <w:rFonts w:ascii="Arial" w:hAnsi="Arial" w:cs="Arial"/>
          <w:i/>
          <w:iCs/>
        </w:rPr>
        <w:t>:</w:t>
      </w:r>
      <w:r>
        <w:rPr>
          <w:rFonts w:ascii="Arial" w:hAnsi="Arial" w:cs="Arial"/>
        </w:rPr>
        <w:t xml:space="preserve"> </w:t>
      </w:r>
      <w:r w:rsidR="00895EC5">
        <w:rPr>
          <w:rFonts w:ascii="Arial" w:hAnsi="Arial" w:cs="Arial"/>
          <w:i/>
          <w:iCs/>
        </w:rPr>
        <w:t>H</w:t>
      </w:r>
      <w:r w:rsidR="001C2196" w:rsidRPr="001C2196">
        <w:rPr>
          <w:rFonts w:ascii="Arial" w:hAnsi="Arial" w:cs="Arial"/>
          <w:i/>
          <w:iCs/>
        </w:rPr>
        <w:t xml:space="preserve">alf-duplex operation in FDD bands by nature is duty-cycled </w:t>
      </w:r>
      <w:r w:rsidR="00F34985">
        <w:rPr>
          <w:rFonts w:ascii="Arial" w:hAnsi="Arial" w:cs="Arial"/>
          <w:i/>
          <w:iCs/>
        </w:rPr>
        <w:t xml:space="preserve">in transmission </w:t>
      </w:r>
      <w:r w:rsidR="001C2196" w:rsidRPr="001C2196">
        <w:rPr>
          <w:rFonts w:ascii="Arial" w:hAnsi="Arial" w:cs="Arial"/>
          <w:i/>
          <w:iCs/>
        </w:rPr>
        <w:t>which has inherently resolved the SAR issue under HPUE scenario.</w:t>
      </w:r>
    </w:p>
    <w:p w14:paraId="29801C78" w14:textId="32D0F12D" w:rsidR="001C2196" w:rsidRDefault="001C2196" w:rsidP="005515E7">
      <w:pPr>
        <w:spacing w:after="0"/>
        <w:jc w:val="both"/>
        <w:rPr>
          <w:rFonts w:ascii="Arial" w:hAnsi="Arial" w:cs="Arial"/>
        </w:rPr>
      </w:pPr>
    </w:p>
    <w:p w14:paraId="14C10D10" w14:textId="60114D2A" w:rsidR="001C2196" w:rsidRDefault="001C2196" w:rsidP="001C2196">
      <w:pPr>
        <w:spacing w:after="120"/>
        <w:jc w:val="both"/>
        <w:rPr>
          <w:rFonts w:ascii="Arial" w:hAnsi="Arial" w:cs="Arial"/>
          <w:i/>
          <w:iCs/>
        </w:rPr>
      </w:pPr>
      <w:r w:rsidRPr="00D00BA3">
        <w:rPr>
          <w:rFonts w:ascii="Arial" w:hAnsi="Arial" w:cs="Arial"/>
          <w:b/>
          <w:bCs/>
          <w:i/>
          <w:iCs/>
        </w:rPr>
        <w:t xml:space="preserve">Observation </w:t>
      </w:r>
      <w:r w:rsidR="00F34985">
        <w:rPr>
          <w:rFonts w:ascii="Arial" w:hAnsi="Arial" w:cs="Arial"/>
          <w:b/>
          <w:bCs/>
          <w:i/>
          <w:iCs/>
        </w:rPr>
        <w:t>4</w:t>
      </w:r>
      <w:r>
        <w:rPr>
          <w:rFonts w:ascii="Arial" w:hAnsi="Arial" w:cs="Arial"/>
          <w:i/>
          <w:iCs/>
        </w:rPr>
        <w:t>: H</w:t>
      </w:r>
      <w:r w:rsidRPr="001C2196">
        <w:rPr>
          <w:rFonts w:ascii="Arial" w:hAnsi="Arial" w:cs="Arial"/>
          <w:i/>
          <w:iCs/>
        </w:rPr>
        <w:t>alf-duplex operation allows bypassing the high insertion loss duplexer and avoids REFSENS impact from transmit leakage</w:t>
      </w:r>
      <w:r w:rsidR="009810A7">
        <w:rPr>
          <w:rFonts w:ascii="Arial" w:hAnsi="Arial" w:cs="Arial"/>
          <w:i/>
          <w:iCs/>
        </w:rPr>
        <w:t>s</w:t>
      </w:r>
      <w:r w:rsidRPr="001C2196">
        <w:rPr>
          <w:rFonts w:ascii="Arial" w:hAnsi="Arial" w:cs="Arial"/>
          <w:i/>
          <w:iCs/>
        </w:rPr>
        <w:t xml:space="preserve"> which can save UL from RB allocation restriction for FDD bands with narrow duplex </w:t>
      </w:r>
      <w:r w:rsidR="00ED2654">
        <w:rPr>
          <w:rFonts w:ascii="Arial" w:hAnsi="Arial" w:cs="Arial"/>
          <w:i/>
          <w:iCs/>
        </w:rPr>
        <w:t>gap</w:t>
      </w:r>
      <w:r w:rsidR="00F34985">
        <w:rPr>
          <w:rFonts w:ascii="Arial" w:hAnsi="Arial" w:cs="Arial"/>
          <w:i/>
          <w:iCs/>
        </w:rPr>
        <w:t>.</w:t>
      </w:r>
    </w:p>
    <w:p w14:paraId="12CA1F73" w14:textId="6F25346C" w:rsidR="00F34985" w:rsidRPr="00F34985" w:rsidRDefault="00F34985" w:rsidP="00F34985">
      <w:pPr>
        <w:spacing w:after="0"/>
        <w:jc w:val="both"/>
        <w:rPr>
          <w:rFonts w:ascii="Arial" w:hAnsi="Arial" w:cs="Arial"/>
        </w:rPr>
      </w:pPr>
    </w:p>
    <w:p w14:paraId="5AFEEB32" w14:textId="2925DAD2" w:rsidR="00F34985" w:rsidRPr="00F34985" w:rsidRDefault="00F34985" w:rsidP="00F34985">
      <w:pPr>
        <w:spacing w:after="120"/>
        <w:jc w:val="both"/>
        <w:rPr>
          <w:rFonts w:ascii="Arial" w:hAnsi="Arial" w:cs="Arial"/>
          <w:i/>
          <w:iCs/>
        </w:rPr>
      </w:pPr>
      <w:r w:rsidRPr="00F34985">
        <w:rPr>
          <w:rFonts w:ascii="Arial" w:hAnsi="Arial" w:cs="Arial"/>
          <w:b/>
          <w:bCs/>
          <w:i/>
          <w:iCs/>
        </w:rPr>
        <w:t>Observation 5</w:t>
      </w:r>
      <w:r>
        <w:rPr>
          <w:rFonts w:ascii="Arial" w:hAnsi="Arial" w:cs="Arial"/>
          <w:i/>
          <w:iCs/>
        </w:rPr>
        <w:t xml:space="preserve">: For half-duplex operation, </w:t>
      </w:r>
      <w:r w:rsidRPr="00F34985">
        <w:rPr>
          <w:rFonts w:ascii="Arial" w:hAnsi="Arial" w:cs="Arial"/>
          <w:i/>
          <w:iCs/>
        </w:rPr>
        <w:t xml:space="preserve">full UL RB allocation </w:t>
      </w:r>
      <w:r>
        <w:rPr>
          <w:rFonts w:ascii="Arial" w:hAnsi="Arial" w:cs="Arial"/>
          <w:i/>
          <w:iCs/>
        </w:rPr>
        <w:t xml:space="preserve">can be </w:t>
      </w:r>
      <w:r w:rsidRPr="00F34985">
        <w:rPr>
          <w:rFonts w:ascii="Arial" w:hAnsi="Arial" w:cs="Arial"/>
          <w:i/>
          <w:iCs/>
        </w:rPr>
        <w:t xml:space="preserve">transmitted </w:t>
      </w:r>
      <w:r>
        <w:rPr>
          <w:rFonts w:ascii="Arial" w:hAnsi="Arial" w:cs="Arial"/>
          <w:i/>
          <w:iCs/>
        </w:rPr>
        <w:t>in</w:t>
      </w:r>
      <w:r w:rsidRPr="00F34985">
        <w:rPr>
          <w:rFonts w:ascii="Arial" w:hAnsi="Arial" w:cs="Arial"/>
          <w:i/>
          <w:iCs/>
        </w:rPr>
        <w:t xml:space="preserve"> a short time burst to save</w:t>
      </w:r>
      <w:r w:rsidR="000D3A0E">
        <w:rPr>
          <w:rFonts w:ascii="Arial" w:hAnsi="Arial" w:cs="Arial"/>
          <w:i/>
          <w:iCs/>
        </w:rPr>
        <w:t xml:space="preserve"> more</w:t>
      </w:r>
      <w:r w:rsidRPr="00F34985">
        <w:rPr>
          <w:rFonts w:ascii="Arial" w:hAnsi="Arial" w:cs="Arial"/>
          <w:i/>
          <w:iCs/>
        </w:rPr>
        <w:t xml:space="preserve"> </w:t>
      </w:r>
      <w:r w:rsidR="006F6B6E">
        <w:rPr>
          <w:rFonts w:ascii="Arial" w:hAnsi="Arial" w:cs="Arial"/>
          <w:i/>
          <w:iCs/>
        </w:rPr>
        <w:t xml:space="preserve">UL </w:t>
      </w:r>
      <w:r w:rsidRPr="00F34985">
        <w:rPr>
          <w:rFonts w:ascii="Arial" w:hAnsi="Arial" w:cs="Arial"/>
          <w:i/>
          <w:iCs/>
        </w:rPr>
        <w:t xml:space="preserve">power consumption as compared to full duplex operation with </w:t>
      </w:r>
      <w:r w:rsidR="000D3A0E">
        <w:rPr>
          <w:rFonts w:ascii="Arial" w:hAnsi="Arial" w:cs="Arial"/>
          <w:i/>
          <w:iCs/>
        </w:rPr>
        <w:t>longer</w:t>
      </w:r>
      <w:r w:rsidRPr="00F34985">
        <w:rPr>
          <w:rFonts w:ascii="Arial" w:hAnsi="Arial" w:cs="Arial"/>
          <w:i/>
          <w:iCs/>
        </w:rPr>
        <w:t xml:space="preserve"> UL transmission </w:t>
      </w:r>
      <w:r w:rsidR="000D3A0E">
        <w:rPr>
          <w:rFonts w:ascii="Arial" w:hAnsi="Arial" w:cs="Arial"/>
          <w:i/>
          <w:iCs/>
        </w:rPr>
        <w:t xml:space="preserve">time </w:t>
      </w:r>
      <w:r w:rsidRPr="00F34985">
        <w:rPr>
          <w:rFonts w:ascii="Arial" w:hAnsi="Arial" w:cs="Arial"/>
          <w:i/>
          <w:iCs/>
        </w:rPr>
        <w:t>due to RB number restriction to avoid REFSENS impact under high UL transmission power.</w:t>
      </w:r>
    </w:p>
    <w:p w14:paraId="2545D4C3" w14:textId="77777777" w:rsidR="001C2196" w:rsidRPr="00F34985" w:rsidRDefault="001C2196" w:rsidP="005515E7">
      <w:pPr>
        <w:spacing w:after="0"/>
        <w:jc w:val="both"/>
        <w:rPr>
          <w:rFonts w:ascii="Arial" w:hAnsi="Arial" w:cs="Arial"/>
        </w:rPr>
      </w:pPr>
    </w:p>
    <w:p w14:paraId="4EE59617" w14:textId="6D1BF8AD" w:rsidR="00AB717E" w:rsidRDefault="00AB717E" w:rsidP="00AB717E">
      <w:pPr>
        <w:pStyle w:val="Heading2"/>
      </w:pPr>
      <w:r>
        <w:t>2.</w:t>
      </w:r>
      <w:r w:rsidR="00530FB3">
        <w:t>4</w:t>
      </w:r>
      <w:r>
        <w:tab/>
      </w:r>
      <w:r w:rsidR="0079207F">
        <w:t>H</w:t>
      </w:r>
      <w:r w:rsidR="000E3DD4">
        <w:t xml:space="preserve">ybrid </w:t>
      </w:r>
      <w:r w:rsidR="0079207F">
        <w:t xml:space="preserve">duplex </w:t>
      </w:r>
      <w:r w:rsidR="000E3DD4">
        <w:t>operation for PC2 FDD bands</w:t>
      </w:r>
      <w:r>
        <w:t xml:space="preserve">  </w:t>
      </w:r>
    </w:p>
    <w:p w14:paraId="3768B92E" w14:textId="1D4B4F22" w:rsidR="00754854" w:rsidRDefault="00AB717E" w:rsidP="0073496B">
      <w:pPr>
        <w:spacing w:after="0"/>
        <w:jc w:val="both"/>
        <w:rPr>
          <w:rFonts w:ascii="Arial" w:hAnsi="Arial" w:cs="Arial"/>
        </w:rPr>
      </w:pPr>
      <w:r>
        <w:rPr>
          <w:rFonts w:ascii="Arial" w:hAnsi="Arial" w:cs="Arial"/>
        </w:rPr>
        <w:t xml:space="preserve">  </w:t>
      </w:r>
      <w:r w:rsidR="009A4C94">
        <w:rPr>
          <w:rFonts w:ascii="Arial" w:hAnsi="Arial" w:cs="Arial"/>
        </w:rPr>
        <w:t xml:space="preserve"> </w:t>
      </w:r>
      <w:r w:rsidR="001F3B78">
        <w:rPr>
          <w:rFonts w:ascii="Arial" w:hAnsi="Arial" w:cs="Arial"/>
        </w:rPr>
        <w:t xml:space="preserve">   </w:t>
      </w:r>
      <w:r w:rsidR="000E3DD4">
        <w:rPr>
          <w:rFonts w:ascii="Arial" w:hAnsi="Arial" w:cs="Arial"/>
        </w:rPr>
        <w:t xml:space="preserve"> </w:t>
      </w:r>
      <w:r w:rsidR="00BC75E0">
        <w:rPr>
          <w:rFonts w:ascii="Arial" w:hAnsi="Arial" w:cs="Arial"/>
        </w:rPr>
        <w:t xml:space="preserve">   </w:t>
      </w:r>
      <w:r w:rsidR="00992247">
        <w:rPr>
          <w:rFonts w:ascii="Arial" w:hAnsi="Arial" w:cs="Arial"/>
        </w:rPr>
        <w:t xml:space="preserve">      </w:t>
      </w:r>
    </w:p>
    <w:p w14:paraId="2987301B" w14:textId="59C2855E" w:rsidR="00286E79" w:rsidRDefault="005F282D" w:rsidP="00286E79">
      <w:pPr>
        <w:spacing w:after="120"/>
        <w:jc w:val="both"/>
        <w:rPr>
          <w:rFonts w:ascii="Arial" w:hAnsi="Arial" w:cs="Arial"/>
        </w:rPr>
      </w:pPr>
      <w:r>
        <w:rPr>
          <w:rFonts w:ascii="Arial" w:hAnsi="Arial" w:cs="Arial"/>
        </w:rPr>
        <w:t xml:space="preserve">Though half-duplex operation is well suited for PC2 FDD bands on improving the UL coverage, </w:t>
      </w:r>
      <w:r w:rsidR="003531D5">
        <w:rPr>
          <w:rFonts w:ascii="Arial" w:hAnsi="Arial" w:cs="Arial"/>
        </w:rPr>
        <w:t>it does not mean the FDD bands supporting PC2 should always be running at half-duplex mode</w:t>
      </w:r>
      <w:r w:rsidR="00CC4BDD">
        <w:rPr>
          <w:rFonts w:ascii="Arial" w:hAnsi="Arial" w:cs="Arial"/>
        </w:rPr>
        <w:t>,</w:t>
      </w:r>
      <w:r w:rsidR="00B152B8">
        <w:rPr>
          <w:rFonts w:ascii="Arial" w:hAnsi="Arial" w:cs="Arial"/>
        </w:rPr>
        <w:t xml:space="preserve"> </w:t>
      </w:r>
      <w:r w:rsidR="00CC4BDD">
        <w:rPr>
          <w:rFonts w:ascii="Arial" w:hAnsi="Arial" w:cs="Arial"/>
        </w:rPr>
        <w:t>o</w:t>
      </w:r>
      <w:r w:rsidR="009810A7">
        <w:rPr>
          <w:rFonts w:ascii="Arial" w:hAnsi="Arial" w:cs="Arial"/>
        </w:rPr>
        <w:t>therwise</w:t>
      </w:r>
      <w:r w:rsidR="00CC4BDD">
        <w:rPr>
          <w:rFonts w:ascii="Arial" w:hAnsi="Arial" w:cs="Arial"/>
        </w:rPr>
        <w:t>,</w:t>
      </w:r>
      <w:r w:rsidR="00B152B8">
        <w:rPr>
          <w:rFonts w:ascii="Arial" w:hAnsi="Arial" w:cs="Arial"/>
        </w:rPr>
        <w:t xml:space="preserve"> the spectrum efficiency would be compromised as compared to </w:t>
      </w:r>
      <w:r w:rsidR="003D38D9">
        <w:rPr>
          <w:rFonts w:ascii="Arial" w:hAnsi="Arial" w:cs="Arial"/>
        </w:rPr>
        <w:t xml:space="preserve">its </w:t>
      </w:r>
      <w:r w:rsidR="00B152B8">
        <w:rPr>
          <w:rFonts w:ascii="Arial" w:hAnsi="Arial" w:cs="Arial"/>
        </w:rPr>
        <w:t>PC3 FDD band</w:t>
      </w:r>
      <w:r w:rsidR="003D38D9">
        <w:rPr>
          <w:rFonts w:ascii="Arial" w:hAnsi="Arial" w:cs="Arial"/>
        </w:rPr>
        <w:t xml:space="preserve"> counterpart</w:t>
      </w:r>
      <w:r w:rsidR="00B152B8">
        <w:rPr>
          <w:rFonts w:ascii="Arial" w:hAnsi="Arial" w:cs="Arial"/>
        </w:rPr>
        <w:t xml:space="preserve"> </w:t>
      </w:r>
      <w:r w:rsidR="001C2196">
        <w:rPr>
          <w:rFonts w:ascii="Arial" w:hAnsi="Arial" w:cs="Arial"/>
        </w:rPr>
        <w:t>at</w:t>
      </w:r>
      <w:r w:rsidR="00B152B8">
        <w:rPr>
          <w:rFonts w:ascii="Arial" w:hAnsi="Arial" w:cs="Arial"/>
        </w:rPr>
        <w:t xml:space="preserve"> full-duplex operation</w:t>
      </w:r>
      <w:r w:rsidR="003D38D9">
        <w:rPr>
          <w:rFonts w:ascii="Arial" w:hAnsi="Arial" w:cs="Arial"/>
        </w:rPr>
        <w:t xml:space="preserve"> when </w:t>
      </w:r>
      <w:r w:rsidR="001C2196">
        <w:rPr>
          <w:rFonts w:ascii="Arial" w:hAnsi="Arial" w:cs="Arial"/>
        </w:rPr>
        <w:t xml:space="preserve">the </w:t>
      </w:r>
      <w:r w:rsidR="003D38D9">
        <w:rPr>
          <w:rFonts w:ascii="Arial" w:hAnsi="Arial" w:cs="Arial"/>
        </w:rPr>
        <w:t xml:space="preserve">UL power falls below PC3 upper limit. Therefore, </w:t>
      </w:r>
      <w:r w:rsidR="0079207F">
        <w:rPr>
          <w:rFonts w:ascii="Arial" w:hAnsi="Arial" w:cs="Arial"/>
        </w:rPr>
        <w:t xml:space="preserve">we propose </w:t>
      </w:r>
      <w:r w:rsidR="003D38D9">
        <w:rPr>
          <w:rFonts w:ascii="Arial" w:hAnsi="Arial" w:cs="Arial"/>
        </w:rPr>
        <w:t xml:space="preserve">a </w:t>
      </w:r>
      <w:r w:rsidR="0079207F">
        <w:rPr>
          <w:rFonts w:ascii="Arial" w:hAnsi="Arial" w:cs="Arial"/>
        </w:rPr>
        <w:t>hybrid duplex operation</w:t>
      </w:r>
      <w:r w:rsidR="003D38D9">
        <w:rPr>
          <w:rFonts w:ascii="Arial" w:hAnsi="Arial" w:cs="Arial"/>
        </w:rPr>
        <w:t xml:space="preserve"> switchable </w:t>
      </w:r>
      <w:r w:rsidR="0079207F">
        <w:rPr>
          <w:rFonts w:ascii="Arial" w:hAnsi="Arial" w:cs="Arial"/>
        </w:rPr>
        <w:t xml:space="preserve">between full and half-duplex modes for PC2 </w:t>
      </w:r>
      <w:r w:rsidR="003D38D9">
        <w:rPr>
          <w:rFonts w:ascii="Arial" w:hAnsi="Arial" w:cs="Arial"/>
        </w:rPr>
        <w:t>FDD bands</w:t>
      </w:r>
      <w:r w:rsidR="00286E79">
        <w:rPr>
          <w:rFonts w:ascii="Arial" w:hAnsi="Arial" w:cs="Arial"/>
        </w:rPr>
        <w:t xml:space="preserve">. The mode switching boundary can in general be set at PC3 maximum output power or determined by the network for UE throughput and performance optimization. Below </w:t>
      </w:r>
      <w:r w:rsidR="00286E79">
        <w:rPr>
          <w:rFonts w:ascii="Arial" w:hAnsi="Arial" w:cs="Arial"/>
        </w:rPr>
        <w:lastRenderedPageBreak/>
        <w:t>the mode switching boundary, the UE would be running at normal FDD band full-duplexer operation, and above the mode switching boundary, half-duplex operation is scheduled.</w:t>
      </w:r>
    </w:p>
    <w:p w14:paraId="28663AD0" w14:textId="77777777" w:rsidR="00286E79" w:rsidRDefault="00286E79" w:rsidP="0073496B">
      <w:pPr>
        <w:spacing w:after="0"/>
        <w:jc w:val="both"/>
        <w:rPr>
          <w:rFonts w:ascii="Arial" w:hAnsi="Arial" w:cs="Arial"/>
        </w:rPr>
      </w:pPr>
    </w:p>
    <w:p w14:paraId="257BADFF" w14:textId="14727974" w:rsidR="005724C4" w:rsidRDefault="009B7BAB" w:rsidP="009B7BAB">
      <w:pPr>
        <w:spacing w:after="120"/>
        <w:jc w:val="both"/>
        <w:rPr>
          <w:rFonts w:ascii="Arial" w:hAnsi="Arial" w:cs="Arial"/>
        </w:rPr>
      </w:pPr>
      <w:r>
        <w:rPr>
          <w:rFonts w:ascii="Arial" w:hAnsi="Arial" w:cs="Arial"/>
        </w:rPr>
        <w:t>Figure 2.</w:t>
      </w:r>
      <w:r w:rsidR="0079207F">
        <w:rPr>
          <w:rFonts w:ascii="Arial" w:hAnsi="Arial" w:cs="Arial"/>
        </w:rPr>
        <w:t>4</w:t>
      </w:r>
      <w:r>
        <w:rPr>
          <w:rFonts w:ascii="Arial" w:hAnsi="Arial" w:cs="Arial"/>
        </w:rPr>
        <w:t xml:space="preserve">-1 shows a potential UE front-end architecture to support the proposed full-duplex and half-duplex switchable hybrid operation for PC2 FDD bands. When UE is </w:t>
      </w:r>
      <w:r w:rsidR="005724C4">
        <w:rPr>
          <w:rFonts w:ascii="Arial" w:hAnsi="Arial" w:cs="Arial"/>
        </w:rPr>
        <w:t xml:space="preserve">under full-duplex operation, both antenna switch and PA output switch are connected to the duplexer on the right side. When UE is under half-duplex operation, the PA output switch would be connected to the Tx bandpass filter on the left side, </w:t>
      </w:r>
      <w:r w:rsidR="00AF0641">
        <w:rPr>
          <w:rFonts w:ascii="Arial" w:hAnsi="Arial" w:cs="Arial"/>
        </w:rPr>
        <w:t>and</w:t>
      </w:r>
      <w:r w:rsidR="005724C4">
        <w:rPr>
          <w:rFonts w:ascii="Arial" w:hAnsi="Arial" w:cs="Arial"/>
        </w:rPr>
        <w:t xml:space="preserve"> antenna connection would be</w:t>
      </w:r>
      <w:r w:rsidR="00AF0641">
        <w:rPr>
          <w:rFonts w:ascii="Arial" w:hAnsi="Arial" w:cs="Arial"/>
        </w:rPr>
        <w:t xml:space="preserve"> switched between the Tx bandpass filter on the </w:t>
      </w:r>
      <w:r w:rsidR="006F6B6E">
        <w:rPr>
          <w:rFonts w:ascii="Arial" w:hAnsi="Arial" w:cs="Arial"/>
        </w:rPr>
        <w:t>left</w:t>
      </w:r>
      <w:r w:rsidR="00AF0641">
        <w:rPr>
          <w:rFonts w:ascii="Arial" w:hAnsi="Arial" w:cs="Arial"/>
        </w:rPr>
        <w:t xml:space="preserve"> side and </w:t>
      </w:r>
      <w:r w:rsidR="006F6B6E">
        <w:rPr>
          <w:rFonts w:ascii="Arial" w:hAnsi="Arial" w:cs="Arial"/>
        </w:rPr>
        <w:t xml:space="preserve">the </w:t>
      </w:r>
      <w:r w:rsidR="00AF0641">
        <w:rPr>
          <w:rFonts w:ascii="Arial" w:hAnsi="Arial" w:cs="Arial"/>
        </w:rPr>
        <w:t xml:space="preserve">duplexer on the </w:t>
      </w:r>
      <w:r w:rsidR="006F6B6E">
        <w:rPr>
          <w:rFonts w:ascii="Arial" w:hAnsi="Arial" w:cs="Arial"/>
        </w:rPr>
        <w:t>right</w:t>
      </w:r>
      <w:r w:rsidR="00AF0641">
        <w:rPr>
          <w:rFonts w:ascii="Arial" w:hAnsi="Arial" w:cs="Arial"/>
        </w:rPr>
        <w:t xml:space="preserve"> side.</w:t>
      </w:r>
      <w:r w:rsidR="005724C4">
        <w:rPr>
          <w:rFonts w:ascii="Arial" w:hAnsi="Arial" w:cs="Arial"/>
        </w:rPr>
        <w:t xml:space="preserve"> </w:t>
      </w:r>
    </w:p>
    <w:p w14:paraId="157793AC" w14:textId="6FB247DC" w:rsidR="009B7BAB" w:rsidRDefault="005724C4" w:rsidP="005724C4">
      <w:pPr>
        <w:spacing w:after="0"/>
        <w:jc w:val="both"/>
        <w:rPr>
          <w:rFonts w:ascii="Arial" w:hAnsi="Arial" w:cs="Arial"/>
        </w:rPr>
      </w:pPr>
      <w:r>
        <w:rPr>
          <w:rFonts w:ascii="Arial" w:hAnsi="Arial" w:cs="Arial"/>
        </w:rPr>
        <w:t xml:space="preserve"> </w:t>
      </w:r>
    </w:p>
    <w:p w14:paraId="316991D2" w14:textId="57C78BC3" w:rsidR="005F282D" w:rsidRDefault="009B7BAB" w:rsidP="009B7BAB">
      <w:pPr>
        <w:spacing w:after="0"/>
        <w:jc w:val="center"/>
        <w:rPr>
          <w:rFonts w:ascii="Arial" w:hAnsi="Arial" w:cs="Arial"/>
        </w:rPr>
      </w:pPr>
      <w:r w:rsidRPr="009B7BAB">
        <w:rPr>
          <w:rFonts w:ascii="Arial" w:hAnsi="Arial" w:cs="Arial"/>
          <w:noProof/>
        </w:rPr>
        <w:drawing>
          <wp:inline distT="0" distB="0" distL="0" distR="0" wp14:anchorId="54D2DC5D" wp14:editId="385CB639">
            <wp:extent cx="2298700" cy="3098800"/>
            <wp:effectExtent l="0" t="0" r="0" b="0"/>
            <wp:docPr id="1" name="Picture 1" descr="A picture containing dark,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ark, night sky&#10;&#10;Description automatically generated"/>
                    <pic:cNvPicPr/>
                  </pic:nvPicPr>
                  <pic:blipFill>
                    <a:blip r:embed="rId9"/>
                    <a:stretch>
                      <a:fillRect/>
                    </a:stretch>
                  </pic:blipFill>
                  <pic:spPr>
                    <a:xfrm>
                      <a:off x="0" y="0"/>
                      <a:ext cx="2298700" cy="3098800"/>
                    </a:xfrm>
                    <a:prstGeom prst="rect">
                      <a:avLst/>
                    </a:prstGeom>
                  </pic:spPr>
                </pic:pic>
              </a:graphicData>
            </a:graphic>
          </wp:inline>
        </w:drawing>
      </w:r>
    </w:p>
    <w:p w14:paraId="5E14DAFD" w14:textId="77777777" w:rsidR="009B7BAB" w:rsidRDefault="009B7BAB" w:rsidP="0073496B">
      <w:pPr>
        <w:spacing w:after="0"/>
        <w:jc w:val="both"/>
        <w:rPr>
          <w:rFonts w:ascii="Arial" w:hAnsi="Arial" w:cs="Arial"/>
        </w:rPr>
      </w:pPr>
    </w:p>
    <w:p w14:paraId="723ED17E" w14:textId="2A44A1F7" w:rsidR="009B7BAB" w:rsidRDefault="00395678" w:rsidP="00395678">
      <w:pPr>
        <w:spacing w:after="120"/>
        <w:jc w:val="center"/>
        <w:rPr>
          <w:rFonts w:ascii="Arial" w:hAnsi="Arial" w:cs="Arial"/>
        </w:rPr>
      </w:pPr>
      <w:r>
        <w:rPr>
          <w:rFonts w:ascii="Arial" w:hAnsi="Arial" w:cs="Arial"/>
          <w:b/>
        </w:rPr>
        <w:t>Figure 2.</w:t>
      </w:r>
      <w:r w:rsidR="009D2788">
        <w:rPr>
          <w:rFonts w:ascii="Arial" w:hAnsi="Arial" w:cs="Arial"/>
          <w:b/>
        </w:rPr>
        <w:t>4</w:t>
      </w:r>
      <w:r>
        <w:rPr>
          <w:rFonts w:ascii="Arial" w:hAnsi="Arial" w:cs="Arial"/>
          <w:b/>
        </w:rPr>
        <w:t xml:space="preserve">-1 A UE front-end architecture for PC2 FDD bands supporting half-duplex operation </w:t>
      </w:r>
    </w:p>
    <w:p w14:paraId="797D5ED4" w14:textId="7462C1B2" w:rsidR="00AF0641" w:rsidRDefault="00AF0641" w:rsidP="0073496B">
      <w:pPr>
        <w:spacing w:after="0"/>
        <w:jc w:val="both"/>
        <w:rPr>
          <w:rFonts w:ascii="Arial" w:hAnsi="Arial" w:cs="Arial"/>
        </w:rPr>
      </w:pPr>
    </w:p>
    <w:p w14:paraId="0BADACB9" w14:textId="1B963AB7" w:rsidR="001C2196" w:rsidRPr="00B31A84" w:rsidRDefault="001C2196" w:rsidP="00B31A84">
      <w:pPr>
        <w:spacing w:after="120"/>
        <w:jc w:val="both"/>
        <w:rPr>
          <w:rFonts w:ascii="Arial" w:hAnsi="Arial" w:cs="Arial"/>
          <w:i/>
          <w:iCs/>
        </w:rPr>
      </w:pPr>
      <w:r w:rsidRPr="00B31A84">
        <w:rPr>
          <w:rFonts w:ascii="Arial" w:hAnsi="Arial" w:cs="Arial"/>
          <w:b/>
          <w:bCs/>
          <w:i/>
          <w:iCs/>
        </w:rPr>
        <w:t>Proposal</w:t>
      </w:r>
      <w:r w:rsidR="009D2788">
        <w:rPr>
          <w:rFonts w:ascii="Arial" w:hAnsi="Arial" w:cs="Arial"/>
          <w:b/>
          <w:bCs/>
          <w:i/>
          <w:iCs/>
        </w:rPr>
        <w:t xml:space="preserve"> 1</w:t>
      </w:r>
      <w:r w:rsidRPr="00B31A84">
        <w:rPr>
          <w:rFonts w:ascii="Arial" w:hAnsi="Arial" w:cs="Arial"/>
          <w:i/>
          <w:iCs/>
        </w:rPr>
        <w:t xml:space="preserve">: </w:t>
      </w:r>
      <w:r w:rsidR="006A7991">
        <w:rPr>
          <w:rFonts w:ascii="Arial" w:hAnsi="Arial" w:cs="Arial"/>
          <w:i/>
          <w:iCs/>
        </w:rPr>
        <w:t>I</w:t>
      </w:r>
      <w:r w:rsidR="006A7991" w:rsidRPr="006A7991">
        <w:rPr>
          <w:rFonts w:ascii="Arial" w:hAnsi="Arial" w:cs="Arial"/>
          <w:i/>
          <w:iCs/>
        </w:rPr>
        <w:t xml:space="preserve">ntroduce an optional UE feature to </w:t>
      </w:r>
      <w:r w:rsidR="006A7991">
        <w:rPr>
          <w:rFonts w:ascii="Arial" w:hAnsi="Arial" w:cs="Arial"/>
          <w:i/>
          <w:iCs/>
        </w:rPr>
        <w:t xml:space="preserve">support </w:t>
      </w:r>
      <w:r w:rsidR="006A7991" w:rsidRPr="006A7991">
        <w:rPr>
          <w:rFonts w:ascii="Arial" w:hAnsi="Arial" w:cs="Arial"/>
          <w:i/>
          <w:iCs/>
        </w:rPr>
        <w:t>a hybrid duplex operation switchable between full and half-duplex modes for PC2 FDD bands</w:t>
      </w:r>
      <w:r w:rsidR="006A7991">
        <w:rPr>
          <w:rFonts w:ascii="Arial" w:hAnsi="Arial" w:cs="Arial"/>
          <w:i/>
          <w:iCs/>
        </w:rPr>
        <w:t>.</w:t>
      </w:r>
      <w:r w:rsidRPr="00B31A84">
        <w:rPr>
          <w:rFonts w:ascii="Arial" w:hAnsi="Arial" w:cs="Arial"/>
          <w:i/>
          <w:iCs/>
        </w:rPr>
        <w:t xml:space="preserve">  </w:t>
      </w:r>
    </w:p>
    <w:p w14:paraId="42A21B38" w14:textId="77777777" w:rsidR="001C2196" w:rsidRDefault="001C2196" w:rsidP="0073496B">
      <w:pPr>
        <w:spacing w:after="0"/>
        <w:jc w:val="both"/>
        <w:rPr>
          <w:rFonts w:ascii="Arial" w:hAnsi="Arial" w:cs="Arial"/>
        </w:rPr>
      </w:pPr>
    </w:p>
    <w:p w14:paraId="2DFD68F3" w14:textId="0D07D1FC" w:rsidR="00AF0641" w:rsidRDefault="00AF0641" w:rsidP="00AF0641">
      <w:pPr>
        <w:pStyle w:val="Heading2"/>
      </w:pPr>
      <w:r>
        <w:t>2.</w:t>
      </w:r>
      <w:r w:rsidR="009D2788">
        <w:t>5</w:t>
      </w:r>
      <w:r>
        <w:tab/>
        <w:t xml:space="preserve">UE capability signalling and mode configuration   </w:t>
      </w:r>
    </w:p>
    <w:p w14:paraId="451E144B" w14:textId="77777777" w:rsidR="00AF0641" w:rsidRDefault="00AF0641" w:rsidP="0073496B">
      <w:pPr>
        <w:spacing w:after="0"/>
        <w:jc w:val="both"/>
        <w:rPr>
          <w:rFonts w:ascii="Arial" w:hAnsi="Arial" w:cs="Arial"/>
        </w:rPr>
      </w:pPr>
    </w:p>
    <w:p w14:paraId="55CC205E" w14:textId="5747EA5B" w:rsidR="00395678" w:rsidRDefault="00AF0641" w:rsidP="00395678">
      <w:pPr>
        <w:spacing w:after="120"/>
        <w:jc w:val="both"/>
        <w:rPr>
          <w:rFonts w:ascii="Arial" w:hAnsi="Arial" w:cs="Arial"/>
        </w:rPr>
      </w:pPr>
      <w:r>
        <w:rPr>
          <w:rFonts w:ascii="Arial" w:hAnsi="Arial" w:cs="Arial"/>
        </w:rPr>
        <w:t xml:space="preserve">A UE capability of supporting </w:t>
      </w:r>
      <w:r w:rsidR="006A7991">
        <w:rPr>
          <w:rFonts w:ascii="Arial" w:hAnsi="Arial" w:cs="Arial"/>
        </w:rPr>
        <w:t xml:space="preserve">hybrid </w:t>
      </w:r>
      <w:r>
        <w:rPr>
          <w:rFonts w:ascii="Arial" w:hAnsi="Arial" w:cs="Arial"/>
        </w:rPr>
        <w:t xml:space="preserve">duplex operation for PC2 FDD bands can be defined and indicated to the network </w:t>
      </w:r>
      <w:r w:rsidR="00AB2108">
        <w:rPr>
          <w:rFonts w:ascii="Arial" w:hAnsi="Arial" w:cs="Arial"/>
        </w:rPr>
        <w:t>in order for</w:t>
      </w:r>
      <w:r>
        <w:rPr>
          <w:rFonts w:ascii="Arial" w:hAnsi="Arial" w:cs="Arial"/>
        </w:rPr>
        <w:t xml:space="preserve"> </w:t>
      </w:r>
      <w:r w:rsidR="00102459">
        <w:rPr>
          <w:rFonts w:ascii="Arial" w:hAnsi="Arial" w:cs="Arial"/>
        </w:rPr>
        <w:t xml:space="preserve">the </w:t>
      </w:r>
      <w:r>
        <w:rPr>
          <w:rFonts w:ascii="Arial" w:hAnsi="Arial" w:cs="Arial"/>
        </w:rPr>
        <w:t xml:space="preserve">network to configure </w:t>
      </w:r>
      <w:r w:rsidR="00B21FFC">
        <w:rPr>
          <w:rFonts w:ascii="Arial" w:hAnsi="Arial" w:cs="Arial"/>
        </w:rPr>
        <w:t>UE to half-duplex mode or back to full-duplex mode</w:t>
      </w:r>
      <w:r w:rsidR="00102459">
        <w:rPr>
          <w:rFonts w:ascii="Arial" w:hAnsi="Arial" w:cs="Arial"/>
        </w:rPr>
        <w:t xml:space="preserve"> as needed</w:t>
      </w:r>
      <w:r w:rsidR="00B21FFC">
        <w:rPr>
          <w:rFonts w:ascii="Arial" w:hAnsi="Arial" w:cs="Arial"/>
        </w:rPr>
        <w:t>.</w:t>
      </w:r>
      <w:r w:rsidR="00102459">
        <w:rPr>
          <w:rFonts w:ascii="Arial" w:hAnsi="Arial" w:cs="Arial"/>
        </w:rPr>
        <w:t xml:space="preserve"> </w:t>
      </w:r>
      <w:r w:rsidR="00B21FFC">
        <w:rPr>
          <w:rFonts w:ascii="Arial" w:hAnsi="Arial" w:cs="Arial"/>
        </w:rPr>
        <w:t xml:space="preserve">The mode configuration can potentially be done </w:t>
      </w:r>
      <w:r w:rsidR="006A7991">
        <w:rPr>
          <w:rFonts w:ascii="Arial" w:hAnsi="Arial" w:cs="Arial"/>
        </w:rPr>
        <w:t>semi-</w:t>
      </w:r>
      <w:r w:rsidR="00B21FFC">
        <w:rPr>
          <w:rFonts w:ascii="Arial" w:hAnsi="Arial" w:cs="Arial"/>
        </w:rPr>
        <w:t xml:space="preserve">statically through RRC </w:t>
      </w:r>
      <w:r w:rsidR="009973EA">
        <w:rPr>
          <w:rFonts w:ascii="Arial" w:hAnsi="Arial" w:cs="Arial"/>
        </w:rPr>
        <w:t>re</w:t>
      </w:r>
      <w:r w:rsidR="00B21FFC">
        <w:rPr>
          <w:rFonts w:ascii="Arial" w:hAnsi="Arial" w:cs="Arial"/>
        </w:rPr>
        <w:t>configuration or dynamically through MAC-CE process.</w:t>
      </w:r>
      <w:r w:rsidR="00AA0CBC">
        <w:rPr>
          <w:rFonts w:ascii="Arial" w:hAnsi="Arial" w:cs="Arial"/>
        </w:rPr>
        <w:t xml:space="preserve"> It is proposed to send an LS to RAN1 and RAN2 to inquire the necessary joint working group requirements development to enable this feature. </w:t>
      </w:r>
    </w:p>
    <w:p w14:paraId="072F81CF" w14:textId="77777777" w:rsidR="00AA0CBC" w:rsidRDefault="00AA0CBC" w:rsidP="0073496B">
      <w:pPr>
        <w:spacing w:after="0"/>
        <w:jc w:val="both"/>
        <w:rPr>
          <w:rFonts w:ascii="Arial" w:hAnsi="Arial" w:cs="Arial"/>
        </w:rPr>
      </w:pPr>
    </w:p>
    <w:p w14:paraId="6C9722E1" w14:textId="0252FC43" w:rsidR="00AA0CBC" w:rsidRPr="00AA0CBC" w:rsidRDefault="00AA0CBC" w:rsidP="00AA0CBC">
      <w:pPr>
        <w:spacing w:after="120"/>
        <w:jc w:val="both"/>
        <w:rPr>
          <w:rFonts w:ascii="Arial" w:hAnsi="Arial" w:cs="Arial"/>
          <w:i/>
          <w:iCs/>
        </w:rPr>
      </w:pPr>
      <w:r w:rsidRPr="00AA0CBC">
        <w:rPr>
          <w:rFonts w:ascii="Arial" w:hAnsi="Arial" w:cs="Arial"/>
          <w:b/>
          <w:bCs/>
          <w:i/>
          <w:iCs/>
        </w:rPr>
        <w:t>Proposal 2</w:t>
      </w:r>
      <w:r w:rsidRPr="00AA0CBC">
        <w:rPr>
          <w:rFonts w:ascii="Arial" w:hAnsi="Arial" w:cs="Arial"/>
          <w:i/>
          <w:iCs/>
        </w:rPr>
        <w:t>: Send an LS to RAN1 and RAN2 to inquire the necessary joint working group requirements development to enable the hybrid duplex operation feature for PC2 FDD bands.</w:t>
      </w:r>
    </w:p>
    <w:p w14:paraId="079A2B37" w14:textId="449393BA" w:rsidR="00F73796" w:rsidRPr="0073496B" w:rsidRDefault="00B21FFC" w:rsidP="0073496B">
      <w:pPr>
        <w:spacing w:after="0"/>
        <w:jc w:val="both"/>
        <w:rPr>
          <w:rFonts w:ascii="Arial" w:hAnsi="Arial" w:cs="Arial"/>
        </w:rPr>
      </w:pPr>
      <w:r>
        <w:rPr>
          <w:rFonts w:ascii="Arial" w:hAnsi="Arial" w:cs="Arial"/>
        </w:rPr>
        <w:t xml:space="preserve"> </w:t>
      </w:r>
      <w:r w:rsidR="005F282D">
        <w:rPr>
          <w:rFonts w:ascii="Arial" w:hAnsi="Arial" w:cs="Arial"/>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14D23446" w14:textId="3BE6DE68" w:rsidR="006D7B72" w:rsidRDefault="00395678" w:rsidP="00B31A84">
      <w:pPr>
        <w:spacing w:after="120"/>
        <w:jc w:val="both"/>
        <w:rPr>
          <w:rFonts w:ascii="Arial" w:hAnsi="Arial" w:cs="Arial"/>
        </w:rPr>
      </w:pPr>
      <w:r>
        <w:rPr>
          <w:rFonts w:ascii="Arial" w:hAnsi="Arial" w:cs="Arial"/>
        </w:rPr>
        <w:t xml:space="preserve">In this contribution, we share our view on the benefit of half-duplex operation for FDD bands under HPUE scenario and propose a hybrid </w:t>
      </w:r>
      <w:r w:rsidR="003A0817">
        <w:rPr>
          <w:rFonts w:ascii="Arial" w:hAnsi="Arial" w:cs="Arial"/>
        </w:rPr>
        <w:t xml:space="preserve">duplex </w:t>
      </w:r>
      <w:r>
        <w:rPr>
          <w:rFonts w:ascii="Arial" w:hAnsi="Arial" w:cs="Arial"/>
        </w:rPr>
        <w:t>operation switchable between full-duplex and half-duplex modes for PC2 FDD bands</w:t>
      </w:r>
      <w:r w:rsidR="00102459">
        <w:rPr>
          <w:rFonts w:ascii="Arial" w:hAnsi="Arial" w:cs="Arial"/>
        </w:rPr>
        <w:t>.</w:t>
      </w:r>
    </w:p>
    <w:p w14:paraId="4EDC4C2A" w14:textId="77777777" w:rsidR="001C2196" w:rsidRDefault="001C2196" w:rsidP="00886D52">
      <w:pPr>
        <w:spacing w:after="0"/>
        <w:jc w:val="both"/>
        <w:rPr>
          <w:rFonts w:ascii="Arial" w:hAnsi="Arial" w:cs="Arial"/>
        </w:rPr>
      </w:pPr>
    </w:p>
    <w:p w14:paraId="2014A329" w14:textId="18A56BB9" w:rsidR="00B31A84" w:rsidRDefault="00AA0CBC" w:rsidP="00B31A84">
      <w:pPr>
        <w:spacing w:after="120"/>
        <w:jc w:val="both"/>
        <w:rPr>
          <w:rFonts w:ascii="Arial" w:hAnsi="Arial" w:cs="Arial"/>
        </w:rPr>
      </w:pPr>
      <w:r w:rsidRPr="00C67E71">
        <w:rPr>
          <w:rFonts w:ascii="Arial" w:hAnsi="Arial" w:cs="Arial"/>
          <w:b/>
          <w:bCs/>
          <w:i/>
          <w:iCs/>
        </w:rPr>
        <w:lastRenderedPageBreak/>
        <w:t>Observation 1</w:t>
      </w:r>
      <w:r>
        <w:rPr>
          <w:rFonts w:ascii="Arial" w:hAnsi="Arial" w:cs="Arial"/>
          <w:i/>
          <w:iCs/>
        </w:rPr>
        <w:t xml:space="preserve">: </w:t>
      </w:r>
      <w:r w:rsidRPr="00C67E71">
        <w:rPr>
          <w:rFonts w:ascii="Arial" w:hAnsi="Arial" w:cs="Arial"/>
          <w:i/>
          <w:iCs/>
        </w:rPr>
        <w:t>For PC2 FDD bands, the UE implementation-based method for SAR compliance may always assume UL transmission is contiguous and P-MPR is applied whenever the Tx output power exceeds 23 dBm. As a result, HPUE cannot be practically realized.</w:t>
      </w:r>
    </w:p>
    <w:p w14:paraId="52C4264C" w14:textId="77777777" w:rsidR="00B31A84" w:rsidRDefault="00B31A84" w:rsidP="00B31A84">
      <w:pPr>
        <w:spacing w:after="0"/>
        <w:jc w:val="both"/>
        <w:rPr>
          <w:rFonts w:ascii="Arial" w:hAnsi="Arial" w:cs="Arial"/>
        </w:rPr>
      </w:pPr>
    </w:p>
    <w:p w14:paraId="6E6C8175" w14:textId="45FF54F8" w:rsidR="009E462B" w:rsidRDefault="00AA0CBC" w:rsidP="00B31A84">
      <w:pPr>
        <w:spacing w:after="120"/>
        <w:jc w:val="both"/>
        <w:rPr>
          <w:rFonts w:ascii="Arial" w:hAnsi="Arial" w:cs="Arial"/>
          <w:i/>
          <w:iCs/>
        </w:rPr>
      </w:pPr>
      <w:r w:rsidRPr="00D00BA3">
        <w:rPr>
          <w:rFonts w:ascii="Arial" w:hAnsi="Arial" w:cs="Arial"/>
          <w:b/>
          <w:bCs/>
          <w:i/>
          <w:iCs/>
        </w:rPr>
        <w:t xml:space="preserve">Observation </w:t>
      </w:r>
      <w:r>
        <w:rPr>
          <w:rFonts w:ascii="Arial" w:hAnsi="Arial" w:cs="Arial"/>
          <w:b/>
          <w:bCs/>
          <w:i/>
          <w:iCs/>
        </w:rPr>
        <w:t>2</w:t>
      </w:r>
      <w:r w:rsidRPr="00D00BA3">
        <w:rPr>
          <w:rFonts w:ascii="Arial" w:hAnsi="Arial" w:cs="Arial"/>
          <w:i/>
          <w:iCs/>
        </w:rPr>
        <w:t>:</w:t>
      </w:r>
      <w:r>
        <w:rPr>
          <w:rFonts w:ascii="Arial" w:hAnsi="Arial" w:cs="Arial"/>
        </w:rPr>
        <w:t xml:space="preserve"> </w:t>
      </w:r>
      <w:r w:rsidRPr="00754854">
        <w:rPr>
          <w:rFonts w:ascii="Arial" w:hAnsi="Arial" w:cs="Arial"/>
          <w:i/>
          <w:iCs/>
        </w:rPr>
        <w:t xml:space="preserve">For FDD bands with narrow duplex </w:t>
      </w:r>
      <w:r>
        <w:rPr>
          <w:rFonts w:ascii="Arial" w:hAnsi="Arial" w:cs="Arial"/>
          <w:i/>
          <w:iCs/>
        </w:rPr>
        <w:t>gap</w:t>
      </w:r>
      <w:r w:rsidRPr="00754854">
        <w:rPr>
          <w:rFonts w:ascii="Arial" w:hAnsi="Arial" w:cs="Arial"/>
          <w:i/>
          <w:iCs/>
        </w:rPr>
        <w:t>, further UL RB allocation restriction may be needed under HPUE operation to prevent REFSENS degradation which could render a countereffect on having HPUE to improve UL throughput near the cell edge as motivated by this study item.</w:t>
      </w:r>
      <w:r>
        <w:rPr>
          <w:rFonts w:ascii="Arial" w:hAnsi="Arial" w:cs="Arial"/>
        </w:rPr>
        <w:t xml:space="preserve">  </w:t>
      </w:r>
    </w:p>
    <w:p w14:paraId="440073AB" w14:textId="6062454E" w:rsidR="00B31A84" w:rsidRDefault="00B31A84" w:rsidP="00B31A84">
      <w:pPr>
        <w:spacing w:after="0"/>
        <w:jc w:val="both"/>
        <w:rPr>
          <w:rFonts w:ascii="Arial" w:hAnsi="Arial" w:cs="Arial"/>
          <w:i/>
          <w:iCs/>
        </w:rPr>
      </w:pPr>
    </w:p>
    <w:p w14:paraId="5AA9B7B4" w14:textId="3F4CEC5D" w:rsidR="00B31A84" w:rsidRDefault="00AA0CBC" w:rsidP="00B31A84">
      <w:pPr>
        <w:spacing w:after="120"/>
        <w:jc w:val="both"/>
        <w:rPr>
          <w:rFonts w:ascii="Arial" w:hAnsi="Arial" w:cs="Arial"/>
          <w:i/>
          <w:iCs/>
        </w:rPr>
      </w:pPr>
      <w:r w:rsidRPr="00D00BA3">
        <w:rPr>
          <w:rFonts w:ascii="Arial" w:hAnsi="Arial" w:cs="Arial"/>
          <w:b/>
          <w:bCs/>
          <w:i/>
          <w:iCs/>
        </w:rPr>
        <w:t xml:space="preserve">Observation </w:t>
      </w:r>
      <w:r>
        <w:rPr>
          <w:rFonts w:ascii="Arial" w:hAnsi="Arial" w:cs="Arial"/>
          <w:b/>
          <w:bCs/>
          <w:i/>
          <w:iCs/>
        </w:rPr>
        <w:t>3</w:t>
      </w:r>
      <w:r w:rsidRPr="00D00BA3">
        <w:rPr>
          <w:rFonts w:ascii="Arial" w:hAnsi="Arial" w:cs="Arial"/>
          <w:i/>
          <w:iCs/>
        </w:rPr>
        <w:t>:</w:t>
      </w:r>
      <w:r>
        <w:rPr>
          <w:rFonts w:ascii="Arial" w:hAnsi="Arial" w:cs="Arial"/>
        </w:rPr>
        <w:t xml:space="preserve"> </w:t>
      </w:r>
      <w:r>
        <w:rPr>
          <w:rFonts w:ascii="Arial" w:hAnsi="Arial" w:cs="Arial"/>
          <w:i/>
          <w:iCs/>
        </w:rPr>
        <w:t>H</w:t>
      </w:r>
      <w:r w:rsidRPr="001C2196">
        <w:rPr>
          <w:rFonts w:ascii="Arial" w:hAnsi="Arial" w:cs="Arial"/>
          <w:i/>
          <w:iCs/>
        </w:rPr>
        <w:t xml:space="preserve">alf-duplex operation in FDD bands by nature is duty-cycled </w:t>
      </w:r>
      <w:r>
        <w:rPr>
          <w:rFonts w:ascii="Arial" w:hAnsi="Arial" w:cs="Arial"/>
          <w:i/>
          <w:iCs/>
        </w:rPr>
        <w:t xml:space="preserve">in transmission </w:t>
      </w:r>
      <w:r w:rsidRPr="001C2196">
        <w:rPr>
          <w:rFonts w:ascii="Arial" w:hAnsi="Arial" w:cs="Arial"/>
          <w:i/>
          <w:iCs/>
        </w:rPr>
        <w:t>which has inherently resolved the SAR issue under HPUE scenario.</w:t>
      </w:r>
    </w:p>
    <w:p w14:paraId="3509A78A" w14:textId="3BF96CCD" w:rsidR="00B31A84" w:rsidRDefault="00B31A84" w:rsidP="00B31A84">
      <w:pPr>
        <w:spacing w:after="0"/>
        <w:jc w:val="both"/>
        <w:rPr>
          <w:rFonts w:ascii="Arial" w:hAnsi="Arial" w:cs="Arial"/>
        </w:rPr>
      </w:pPr>
    </w:p>
    <w:p w14:paraId="6ACFCA57" w14:textId="74B0BDD8" w:rsidR="00B31A84" w:rsidRDefault="00AA0CBC" w:rsidP="00B31A84">
      <w:pPr>
        <w:spacing w:after="120"/>
        <w:jc w:val="both"/>
        <w:rPr>
          <w:rFonts w:ascii="Arial" w:hAnsi="Arial" w:cs="Arial"/>
          <w:i/>
          <w:iCs/>
        </w:rPr>
      </w:pPr>
      <w:r w:rsidRPr="00D00BA3">
        <w:rPr>
          <w:rFonts w:ascii="Arial" w:hAnsi="Arial" w:cs="Arial"/>
          <w:b/>
          <w:bCs/>
          <w:i/>
          <w:iCs/>
        </w:rPr>
        <w:t xml:space="preserve">Observation </w:t>
      </w:r>
      <w:r>
        <w:rPr>
          <w:rFonts w:ascii="Arial" w:hAnsi="Arial" w:cs="Arial"/>
          <w:b/>
          <w:bCs/>
          <w:i/>
          <w:iCs/>
        </w:rPr>
        <w:t>4</w:t>
      </w:r>
      <w:r>
        <w:rPr>
          <w:rFonts w:ascii="Arial" w:hAnsi="Arial" w:cs="Arial"/>
          <w:i/>
          <w:iCs/>
        </w:rPr>
        <w:t>: H</w:t>
      </w:r>
      <w:r w:rsidRPr="001C2196">
        <w:rPr>
          <w:rFonts w:ascii="Arial" w:hAnsi="Arial" w:cs="Arial"/>
          <w:i/>
          <w:iCs/>
        </w:rPr>
        <w:t>alf-duplex operation allows bypassing the high insertion loss duplexer and avoids REFSENS impact from transmit leakage</w:t>
      </w:r>
      <w:r>
        <w:rPr>
          <w:rFonts w:ascii="Arial" w:hAnsi="Arial" w:cs="Arial"/>
          <w:i/>
          <w:iCs/>
        </w:rPr>
        <w:t>s</w:t>
      </w:r>
      <w:r w:rsidRPr="001C2196">
        <w:rPr>
          <w:rFonts w:ascii="Arial" w:hAnsi="Arial" w:cs="Arial"/>
          <w:i/>
          <w:iCs/>
        </w:rPr>
        <w:t xml:space="preserve"> which can save UL from RB allocation restriction for FDD bands with narrow duplex </w:t>
      </w:r>
      <w:r>
        <w:rPr>
          <w:rFonts w:ascii="Arial" w:hAnsi="Arial" w:cs="Arial"/>
          <w:i/>
          <w:iCs/>
        </w:rPr>
        <w:t>gap</w:t>
      </w:r>
      <w:r w:rsidR="00B31A84" w:rsidRPr="00754854">
        <w:rPr>
          <w:rFonts w:ascii="Arial" w:hAnsi="Arial" w:cs="Arial"/>
          <w:i/>
          <w:iCs/>
        </w:rPr>
        <w:t>.</w:t>
      </w:r>
    </w:p>
    <w:p w14:paraId="70F7C157" w14:textId="6BC12B3A" w:rsidR="00B31A84" w:rsidRPr="00B31A84" w:rsidRDefault="00B31A84" w:rsidP="00B31A84">
      <w:pPr>
        <w:spacing w:after="0"/>
        <w:jc w:val="both"/>
        <w:rPr>
          <w:rFonts w:ascii="Arial" w:hAnsi="Arial" w:cs="Arial"/>
        </w:rPr>
      </w:pPr>
    </w:p>
    <w:p w14:paraId="6CA43D63" w14:textId="2FB62136" w:rsidR="00B31A84" w:rsidRPr="00AA0CBC" w:rsidRDefault="00AA0CBC" w:rsidP="00B31A84">
      <w:pPr>
        <w:spacing w:after="120"/>
        <w:jc w:val="both"/>
        <w:rPr>
          <w:rFonts w:ascii="Arial" w:hAnsi="Arial" w:cs="Arial"/>
        </w:rPr>
      </w:pPr>
      <w:r w:rsidRPr="00F34985">
        <w:rPr>
          <w:rFonts w:ascii="Arial" w:hAnsi="Arial" w:cs="Arial"/>
          <w:b/>
          <w:bCs/>
          <w:i/>
          <w:iCs/>
        </w:rPr>
        <w:t>Observation 5</w:t>
      </w:r>
      <w:r>
        <w:rPr>
          <w:rFonts w:ascii="Arial" w:hAnsi="Arial" w:cs="Arial"/>
          <w:i/>
          <w:iCs/>
        </w:rPr>
        <w:t xml:space="preserve">: For half-duplex operation, </w:t>
      </w:r>
      <w:r w:rsidRPr="00F34985">
        <w:rPr>
          <w:rFonts w:ascii="Arial" w:hAnsi="Arial" w:cs="Arial"/>
          <w:i/>
          <w:iCs/>
        </w:rPr>
        <w:t xml:space="preserve">full UL RB allocation </w:t>
      </w:r>
      <w:r>
        <w:rPr>
          <w:rFonts w:ascii="Arial" w:hAnsi="Arial" w:cs="Arial"/>
          <w:i/>
          <w:iCs/>
        </w:rPr>
        <w:t xml:space="preserve">can be </w:t>
      </w:r>
      <w:r w:rsidRPr="00F34985">
        <w:rPr>
          <w:rFonts w:ascii="Arial" w:hAnsi="Arial" w:cs="Arial"/>
          <w:i/>
          <w:iCs/>
        </w:rPr>
        <w:t xml:space="preserve">transmitted </w:t>
      </w:r>
      <w:r>
        <w:rPr>
          <w:rFonts w:ascii="Arial" w:hAnsi="Arial" w:cs="Arial"/>
          <w:i/>
          <w:iCs/>
        </w:rPr>
        <w:t>in</w:t>
      </w:r>
      <w:r w:rsidRPr="00F34985">
        <w:rPr>
          <w:rFonts w:ascii="Arial" w:hAnsi="Arial" w:cs="Arial"/>
          <w:i/>
          <w:iCs/>
        </w:rPr>
        <w:t xml:space="preserve"> a short time burst to save</w:t>
      </w:r>
      <w:r>
        <w:rPr>
          <w:rFonts w:ascii="Arial" w:hAnsi="Arial" w:cs="Arial"/>
          <w:i/>
          <w:iCs/>
        </w:rPr>
        <w:t xml:space="preserve"> more</w:t>
      </w:r>
      <w:r w:rsidRPr="00F34985">
        <w:rPr>
          <w:rFonts w:ascii="Arial" w:hAnsi="Arial" w:cs="Arial"/>
          <w:i/>
          <w:iCs/>
        </w:rPr>
        <w:t xml:space="preserve"> </w:t>
      </w:r>
      <w:r w:rsidR="0010115C">
        <w:rPr>
          <w:rFonts w:ascii="Arial" w:hAnsi="Arial" w:cs="Arial"/>
          <w:i/>
          <w:iCs/>
        </w:rPr>
        <w:t xml:space="preserve">UL </w:t>
      </w:r>
      <w:r w:rsidRPr="00F34985">
        <w:rPr>
          <w:rFonts w:ascii="Arial" w:hAnsi="Arial" w:cs="Arial"/>
          <w:i/>
          <w:iCs/>
        </w:rPr>
        <w:t xml:space="preserve">power consumption as compared to full duplex operation with </w:t>
      </w:r>
      <w:r>
        <w:rPr>
          <w:rFonts w:ascii="Arial" w:hAnsi="Arial" w:cs="Arial"/>
          <w:i/>
          <w:iCs/>
        </w:rPr>
        <w:t>longer</w:t>
      </w:r>
      <w:r w:rsidRPr="00F34985">
        <w:rPr>
          <w:rFonts w:ascii="Arial" w:hAnsi="Arial" w:cs="Arial"/>
          <w:i/>
          <w:iCs/>
        </w:rPr>
        <w:t xml:space="preserve"> UL transmission </w:t>
      </w:r>
      <w:r>
        <w:rPr>
          <w:rFonts w:ascii="Arial" w:hAnsi="Arial" w:cs="Arial"/>
          <w:i/>
          <w:iCs/>
        </w:rPr>
        <w:t xml:space="preserve">time </w:t>
      </w:r>
      <w:r w:rsidRPr="00F34985">
        <w:rPr>
          <w:rFonts w:ascii="Arial" w:hAnsi="Arial" w:cs="Arial"/>
          <w:i/>
          <w:iCs/>
        </w:rPr>
        <w:t>due to RB number restriction to avoid REFSENS impact under high UL transmission power</w:t>
      </w:r>
      <w:r w:rsidR="00B31A84" w:rsidRPr="001C2196">
        <w:rPr>
          <w:rFonts w:ascii="Arial" w:hAnsi="Arial" w:cs="Arial"/>
          <w:i/>
          <w:iCs/>
        </w:rPr>
        <w:t>.</w:t>
      </w:r>
    </w:p>
    <w:p w14:paraId="387D8CCA" w14:textId="438F04D0" w:rsidR="00B31A84" w:rsidRPr="00B31A84" w:rsidRDefault="00B31A84" w:rsidP="00B31A84">
      <w:pPr>
        <w:spacing w:after="0"/>
        <w:jc w:val="both"/>
        <w:rPr>
          <w:rFonts w:ascii="Arial" w:hAnsi="Arial" w:cs="Arial"/>
        </w:rPr>
      </w:pPr>
    </w:p>
    <w:p w14:paraId="60B87AD3" w14:textId="18FEF36C" w:rsidR="00B31A84" w:rsidRDefault="00EC3EDB" w:rsidP="00B31A84">
      <w:pPr>
        <w:spacing w:after="120"/>
        <w:jc w:val="both"/>
        <w:rPr>
          <w:rFonts w:ascii="Arial" w:hAnsi="Arial" w:cs="Arial"/>
          <w:i/>
          <w:iCs/>
        </w:rPr>
      </w:pPr>
      <w:r w:rsidRPr="00B31A84">
        <w:rPr>
          <w:rFonts w:ascii="Arial" w:hAnsi="Arial" w:cs="Arial"/>
          <w:b/>
          <w:bCs/>
          <w:i/>
          <w:iCs/>
        </w:rPr>
        <w:t>Proposal</w:t>
      </w:r>
      <w:r>
        <w:rPr>
          <w:rFonts w:ascii="Arial" w:hAnsi="Arial" w:cs="Arial"/>
          <w:b/>
          <w:bCs/>
          <w:i/>
          <w:iCs/>
        </w:rPr>
        <w:t xml:space="preserve"> 1</w:t>
      </w:r>
      <w:r w:rsidRPr="00B31A84">
        <w:rPr>
          <w:rFonts w:ascii="Arial" w:hAnsi="Arial" w:cs="Arial"/>
          <w:i/>
          <w:iCs/>
        </w:rPr>
        <w:t xml:space="preserve">: </w:t>
      </w:r>
      <w:r>
        <w:rPr>
          <w:rFonts w:ascii="Arial" w:hAnsi="Arial" w:cs="Arial"/>
          <w:i/>
          <w:iCs/>
        </w:rPr>
        <w:t>I</w:t>
      </w:r>
      <w:r w:rsidRPr="006A7991">
        <w:rPr>
          <w:rFonts w:ascii="Arial" w:hAnsi="Arial" w:cs="Arial"/>
          <w:i/>
          <w:iCs/>
        </w:rPr>
        <w:t xml:space="preserve">ntroduce an optional UE feature to </w:t>
      </w:r>
      <w:r>
        <w:rPr>
          <w:rFonts w:ascii="Arial" w:hAnsi="Arial" w:cs="Arial"/>
          <w:i/>
          <w:iCs/>
        </w:rPr>
        <w:t xml:space="preserve">support </w:t>
      </w:r>
      <w:r w:rsidRPr="006A7991">
        <w:rPr>
          <w:rFonts w:ascii="Arial" w:hAnsi="Arial" w:cs="Arial"/>
          <w:i/>
          <w:iCs/>
        </w:rPr>
        <w:t>a hybrid duplex operation switchable between full and half-duplex modes for PC2 FDD bands</w:t>
      </w:r>
      <w:r>
        <w:rPr>
          <w:rFonts w:ascii="Arial" w:hAnsi="Arial" w:cs="Arial"/>
          <w:i/>
          <w:iCs/>
        </w:rPr>
        <w:t>.</w:t>
      </w:r>
    </w:p>
    <w:p w14:paraId="07CD3EC5" w14:textId="67EDB872" w:rsidR="00EC3EDB" w:rsidRPr="00EC3EDB" w:rsidRDefault="00EC3EDB" w:rsidP="00EC3EDB">
      <w:pPr>
        <w:spacing w:after="0"/>
        <w:jc w:val="both"/>
        <w:rPr>
          <w:rFonts w:ascii="Arial" w:hAnsi="Arial" w:cs="Arial"/>
        </w:rPr>
      </w:pPr>
    </w:p>
    <w:p w14:paraId="25C9E60D" w14:textId="48E0AB35" w:rsidR="00EC3EDB" w:rsidRDefault="00EC3EDB" w:rsidP="00B31A84">
      <w:pPr>
        <w:spacing w:after="120"/>
        <w:jc w:val="both"/>
        <w:rPr>
          <w:rFonts w:ascii="Arial" w:hAnsi="Arial" w:cs="Arial"/>
          <w:i/>
          <w:iCs/>
        </w:rPr>
      </w:pPr>
      <w:r w:rsidRPr="00AA0CBC">
        <w:rPr>
          <w:rFonts w:ascii="Arial" w:hAnsi="Arial" w:cs="Arial"/>
          <w:b/>
          <w:bCs/>
          <w:i/>
          <w:iCs/>
        </w:rPr>
        <w:t>Proposal 2</w:t>
      </w:r>
      <w:r w:rsidRPr="00AA0CBC">
        <w:rPr>
          <w:rFonts w:ascii="Arial" w:hAnsi="Arial" w:cs="Arial"/>
          <w:i/>
          <w:iCs/>
        </w:rPr>
        <w:t>: Send an LS to RAN1 and RAN2 to inquire the necessary joint working group requirements development to enable the hybrid duplex operation feature for PC2 FDD bands.</w:t>
      </w:r>
    </w:p>
    <w:p w14:paraId="37127386" w14:textId="77777777" w:rsidR="00B31A84" w:rsidRPr="00B31A84" w:rsidRDefault="00B31A84" w:rsidP="00B31A84">
      <w:pPr>
        <w:spacing w:after="0"/>
        <w:jc w:val="both"/>
        <w:rPr>
          <w:rFonts w:ascii="Arial" w:hAnsi="Arial" w:cs="Arial"/>
        </w:rPr>
      </w:pPr>
    </w:p>
    <w:p w14:paraId="5D2DDC34" w14:textId="62AA5838" w:rsidR="005E69AE" w:rsidRDefault="005E69AE" w:rsidP="005E69AE">
      <w:pPr>
        <w:pStyle w:val="Heading1"/>
      </w:pPr>
      <w:r>
        <w:t>4</w:t>
      </w:r>
      <w:r>
        <w:tab/>
        <w:t>References</w:t>
      </w:r>
    </w:p>
    <w:bookmarkEnd w:id="0"/>
    <w:p w14:paraId="2F43E56C" w14:textId="77777777" w:rsidR="00EC3EDB" w:rsidRDefault="00EC3EDB" w:rsidP="00EC3EDB">
      <w:pPr>
        <w:pStyle w:val="EX"/>
        <w:numPr>
          <w:ilvl w:val="0"/>
          <w:numId w:val="0"/>
        </w:numPr>
        <w:spacing w:after="0"/>
        <w:jc w:val="both"/>
        <w:rPr>
          <w:rFonts w:ascii="Arial" w:hAnsi="Arial" w:cs="Arial"/>
        </w:rPr>
      </w:pPr>
    </w:p>
    <w:p w14:paraId="17919B1A" w14:textId="6CCF78F9" w:rsidR="008F626A" w:rsidRDefault="00FA0FE9" w:rsidP="008F626A">
      <w:pPr>
        <w:pStyle w:val="EX"/>
        <w:jc w:val="both"/>
        <w:rPr>
          <w:rFonts w:ascii="Arial" w:hAnsi="Arial" w:cs="Arial"/>
        </w:rPr>
      </w:pPr>
      <w:r>
        <w:rPr>
          <w:rFonts w:ascii="Arial" w:hAnsi="Arial" w:cs="Arial"/>
        </w:rPr>
        <w:t>R</w:t>
      </w:r>
      <w:r w:rsidR="00EC3EDB">
        <w:rPr>
          <w:rFonts w:ascii="Arial" w:hAnsi="Arial" w:cs="Arial"/>
        </w:rPr>
        <w:t>P</w:t>
      </w:r>
      <w:r>
        <w:rPr>
          <w:rFonts w:ascii="Arial" w:hAnsi="Arial" w:cs="Arial"/>
        </w:rPr>
        <w:t>-</w:t>
      </w:r>
      <w:r w:rsidR="00DF0098">
        <w:rPr>
          <w:rFonts w:ascii="Arial" w:hAnsi="Arial" w:cs="Arial"/>
        </w:rPr>
        <w:t>21</w:t>
      </w:r>
      <w:r w:rsidR="00EC3EDB">
        <w:rPr>
          <w:rFonts w:ascii="Arial" w:hAnsi="Arial" w:cs="Arial"/>
        </w:rPr>
        <w:t>6233</w:t>
      </w:r>
      <w:r w:rsidR="00DF0098">
        <w:rPr>
          <w:rFonts w:ascii="Arial" w:hAnsi="Arial" w:cs="Arial"/>
        </w:rPr>
        <w:t xml:space="preserve"> “</w:t>
      </w:r>
      <w:r w:rsidR="00EC3EDB" w:rsidRPr="00EC3EDB">
        <w:rPr>
          <w:rFonts w:ascii="Arial" w:hAnsi="Arial" w:cs="Arial"/>
        </w:rPr>
        <w:t>New WID on high power UE (power class 2) for NR FDD band</w:t>
      </w:r>
      <w:r w:rsidR="00DF0098">
        <w:rPr>
          <w:rFonts w:ascii="Arial" w:hAnsi="Arial" w:cs="Arial"/>
        </w:rPr>
        <w:t xml:space="preserve">”, </w:t>
      </w:r>
      <w:r w:rsidR="00450387" w:rsidRPr="00450387">
        <w:rPr>
          <w:rFonts w:ascii="Arial" w:hAnsi="Arial" w:cs="Arial"/>
        </w:rPr>
        <w:t>China Unicom</w:t>
      </w:r>
      <w:r w:rsidR="00DF0098">
        <w:rPr>
          <w:rFonts w:ascii="Arial" w:hAnsi="Arial" w:cs="Arial"/>
        </w:rPr>
        <w:t xml:space="preserve">, </w:t>
      </w:r>
      <w:r w:rsidR="00EC3EDB">
        <w:rPr>
          <w:rFonts w:ascii="Arial" w:hAnsi="Arial" w:cs="Arial"/>
        </w:rPr>
        <w:t>3GPP TSG-RAN Meeting #93-e, September 13</w:t>
      </w:r>
      <w:r w:rsidR="00EC3EDB" w:rsidRPr="004768DA">
        <w:rPr>
          <w:rFonts w:ascii="Arial" w:hAnsi="Arial" w:cs="Arial"/>
          <w:vertAlign w:val="superscript"/>
        </w:rPr>
        <w:t>th</w:t>
      </w:r>
      <w:r w:rsidR="00EC3EDB">
        <w:rPr>
          <w:rFonts w:ascii="Arial" w:hAnsi="Arial" w:cs="Arial"/>
        </w:rPr>
        <w:t xml:space="preserve"> – 17</w:t>
      </w:r>
      <w:r w:rsidR="00EC3EDB" w:rsidRPr="004768DA">
        <w:rPr>
          <w:rFonts w:ascii="Arial" w:hAnsi="Arial" w:cs="Arial"/>
          <w:vertAlign w:val="superscript"/>
        </w:rPr>
        <w:t>th</w:t>
      </w:r>
      <w:r w:rsidR="00EC3EDB">
        <w:rPr>
          <w:rFonts w:ascii="Arial" w:hAnsi="Arial" w:cs="Arial"/>
        </w:rPr>
        <w:t>, 2021</w:t>
      </w:r>
    </w:p>
    <w:p w14:paraId="354B8764" w14:textId="2D95E85D" w:rsidR="00AB2108" w:rsidRDefault="00AB2108" w:rsidP="008F626A">
      <w:pPr>
        <w:pStyle w:val="EX"/>
        <w:jc w:val="both"/>
        <w:rPr>
          <w:rFonts w:ascii="Arial" w:hAnsi="Arial" w:cs="Arial"/>
        </w:rPr>
      </w:pPr>
      <w:r w:rsidRPr="00B65A49">
        <w:rPr>
          <w:rFonts w:ascii="Arial" w:hAnsi="Arial" w:cs="Arial"/>
        </w:rPr>
        <w:t>RP-202870</w:t>
      </w:r>
      <w:r>
        <w:rPr>
          <w:rFonts w:ascii="Arial" w:hAnsi="Arial" w:cs="Arial"/>
        </w:rPr>
        <w:t xml:space="preserve"> “</w:t>
      </w:r>
      <w:r w:rsidRPr="00B65A49">
        <w:rPr>
          <w:rFonts w:ascii="Arial" w:hAnsi="Arial" w:cs="Arial"/>
        </w:rPr>
        <w:t>New SID: Study on high power UE (power class 2) for one NR FDD band</w:t>
      </w:r>
      <w:r>
        <w:rPr>
          <w:rFonts w:ascii="Arial" w:hAnsi="Arial" w:cs="Arial"/>
        </w:rPr>
        <w:t>”, China Unicom, 3GPP TSG-RAN Meeting #90-e, December 7</w:t>
      </w:r>
      <w:r w:rsidRPr="004768DA">
        <w:rPr>
          <w:rFonts w:ascii="Arial" w:hAnsi="Arial" w:cs="Arial"/>
          <w:vertAlign w:val="superscript"/>
        </w:rPr>
        <w:t>th</w:t>
      </w:r>
      <w:r>
        <w:rPr>
          <w:rFonts w:ascii="Arial" w:hAnsi="Arial" w:cs="Arial"/>
        </w:rPr>
        <w:t xml:space="preserve"> – 11</w:t>
      </w:r>
      <w:r w:rsidRPr="004768DA">
        <w:rPr>
          <w:rFonts w:ascii="Arial" w:hAnsi="Arial" w:cs="Arial"/>
          <w:vertAlign w:val="superscript"/>
        </w:rPr>
        <w:t>th</w:t>
      </w:r>
      <w:r>
        <w:rPr>
          <w:rFonts w:ascii="Arial" w:hAnsi="Arial" w:cs="Arial"/>
        </w:rPr>
        <w:t>, 2020</w:t>
      </w:r>
    </w:p>
    <w:p w14:paraId="5DCA3C5C" w14:textId="7F27CF60" w:rsidR="00450387" w:rsidRDefault="00450387" w:rsidP="008F626A">
      <w:pPr>
        <w:pStyle w:val="EX"/>
        <w:jc w:val="both"/>
        <w:rPr>
          <w:rFonts w:ascii="Arial" w:hAnsi="Arial" w:cs="Arial"/>
        </w:rPr>
      </w:pPr>
      <w:r w:rsidRPr="00450387">
        <w:rPr>
          <w:rFonts w:ascii="Arial" w:hAnsi="Arial" w:cs="Arial"/>
        </w:rPr>
        <w:t>R4-21</w:t>
      </w:r>
      <w:r w:rsidR="00EC3EDB">
        <w:rPr>
          <w:rFonts w:ascii="Arial" w:hAnsi="Arial" w:cs="Arial"/>
        </w:rPr>
        <w:t>10163</w:t>
      </w:r>
      <w:r>
        <w:rPr>
          <w:rFonts w:ascii="Arial" w:hAnsi="Arial" w:cs="Arial"/>
        </w:rPr>
        <w:t xml:space="preserve"> “</w:t>
      </w:r>
      <w:r w:rsidR="00EC3EDB" w:rsidRPr="00EC3EDB">
        <w:rPr>
          <w:rFonts w:ascii="Arial" w:hAnsi="Arial" w:cs="Arial"/>
        </w:rPr>
        <w:t>Half duplex operation for PC2 FDD bands</w:t>
      </w:r>
      <w:r>
        <w:rPr>
          <w:rFonts w:ascii="Arial" w:hAnsi="Arial" w:cs="Arial"/>
        </w:rPr>
        <w:t xml:space="preserve">”, </w:t>
      </w:r>
      <w:r w:rsidR="00EC3EDB">
        <w:rPr>
          <w:rFonts w:ascii="Arial" w:hAnsi="Arial" w:cs="Arial"/>
        </w:rPr>
        <w:t>Apple</w:t>
      </w:r>
      <w:r>
        <w:rPr>
          <w:rFonts w:ascii="Arial" w:hAnsi="Arial" w:cs="Arial"/>
        </w:rPr>
        <w:t>, 3GPP TSG-RAN WG4 Meeting #9</w:t>
      </w:r>
      <w:r w:rsidR="00EC3EDB">
        <w:rPr>
          <w:rFonts w:ascii="Arial" w:hAnsi="Arial" w:cs="Arial"/>
        </w:rPr>
        <w:t>9</w:t>
      </w:r>
      <w:r>
        <w:rPr>
          <w:rFonts w:ascii="Arial" w:hAnsi="Arial" w:cs="Arial"/>
        </w:rPr>
        <w:t xml:space="preserve">-e, </w:t>
      </w:r>
      <w:r w:rsidR="00EC3EDB">
        <w:rPr>
          <w:rFonts w:ascii="Arial" w:hAnsi="Arial" w:cs="Arial"/>
        </w:rPr>
        <w:t>May</w:t>
      </w:r>
      <w:r>
        <w:rPr>
          <w:rFonts w:ascii="Arial" w:hAnsi="Arial" w:cs="Arial"/>
        </w:rPr>
        <w:t xml:space="preserve"> 1</w:t>
      </w:r>
      <w:r w:rsidR="00EC3EDB">
        <w:rPr>
          <w:rFonts w:ascii="Arial" w:hAnsi="Arial" w:cs="Arial"/>
        </w:rPr>
        <w:t>9</w:t>
      </w:r>
      <w:r w:rsidRPr="00450387">
        <w:rPr>
          <w:rFonts w:ascii="Arial" w:hAnsi="Arial" w:cs="Arial"/>
          <w:vertAlign w:val="superscript"/>
        </w:rPr>
        <w:t>th</w:t>
      </w:r>
      <w:r>
        <w:rPr>
          <w:rFonts w:ascii="Arial" w:hAnsi="Arial" w:cs="Arial"/>
        </w:rPr>
        <w:t xml:space="preserve"> – 2</w:t>
      </w:r>
      <w:r w:rsidR="00EC3EDB">
        <w:rPr>
          <w:rFonts w:ascii="Arial" w:hAnsi="Arial" w:cs="Arial"/>
        </w:rPr>
        <w:t>7</w:t>
      </w:r>
      <w:r w:rsidRPr="00450387">
        <w:rPr>
          <w:rFonts w:ascii="Arial" w:hAnsi="Arial" w:cs="Arial"/>
          <w:vertAlign w:val="superscript"/>
        </w:rPr>
        <w:t>th</w:t>
      </w:r>
      <w:r>
        <w:rPr>
          <w:rFonts w:ascii="Arial" w:hAnsi="Arial" w:cs="Arial"/>
        </w:rPr>
        <w:t>, 2021</w:t>
      </w:r>
    </w:p>
    <w:p w14:paraId="175BB29A" w14:textId="1063AB03" w:rsidR="00AB2108" w:rsidRDefault="00AB2108" w:rsidP="008F626A">
      <w:pPr>
        <w:pStyle w:val="EX"/>
        <w:jc w:val="both"/>
        <w:rPr>
          <w:rFonts w:ascii="Arial" w:hAnsi="Arial" w:cs="Arial"/>
        </w:rPr>
      </w:pPr>
      <w:r>
        <w:rPr>
          <w:rFonts w:ascii="Arial" w:hAnsi="Arial" w:cs="Arial"/>
        </w:rPr>
        <w:t>R4-2117989 “</w:t>
      </w:r>
      <w:r w:rsidRPr="000C05B8">
        <w:rPr>
          <w:rFonts w:ascii="Arial" w:hAnsi="Arial" w:cs="Arial"/>
        </w:rPr>
        <w:t>Hybrid duplex operation for PC2 FDD bands</w:t>
      </w:r>
      <w:r>
        <w:rPr>
          <w:rFonts w:ascii="Arial" w:hAnsi="Arial" w:cs="Arial"/>
        </w:rPr>
        <w:t>”, Apple, 3GPP TSG-RAN WG4 Meeting #101-e, November 1</w:t>
      </w:r>
      <w:r>
        <w:rPr>
          <w:rFonts w:ascii="Arial" w:hAnsi="Arial" w:cs="Arial"/>
          <w:vertAlign w:val="superscript"/>
        </w:rPr>
        <w:t>st</w:t>
      </w:r>
      <w:r>
        <w:rPr>
          <w:rFonts w:ascii="Arial" w:hAnsi="Arial" w:cs="Arial"/>
        </w:rPr>
        <w:t xml:space="preserve"> – 12</w:t>
      </w:r>
      <w:r w:rsidRPr="00773E20">
        <w:rPr>
          <w:rFonts w:ascii="Arial" w:hAnsi="Arial" w:cs="Arial"/>
          <w:vertAlign w:val="superscript"/>
        </w:rPr>
        <w:t>t</w:t>
      </w:r>
      <w:r w:rsidRPr="00450387">
        <w:rPr>
          <w:rFonts w:ascii="Arial" w:hAnsi="Arial" w:cs="Arial"/>
          <w:vertAlign w:val="superscript"/>
        </w:rPr>
        <w:t>h</w:t>
      </w:r>
      <w:r>
        <w:rPr>
          <w:rFonts w:ascii="Arial" w:hAnsi="Arial" w:cs="Arial"/>
        </w:rPr>
        <w:t>, 2021</w:t>
      </w:r>
    </w:p>
    <w:p w14:paraId="5AA44231" w14:textId="35EF0E39" w:rsidR="00AB2108" w:rsidRDefault="00AB2108" w:rsidP="008F626A">
      <w:pPr>
        <w:pStyle w:val="EX"/>
        <w:jc w:val="both"/>
        <w:rPr>
          <w:rFonts w:ascii="Arial" w:hAnsi="Arial" w:cs="Arial"/>
        </w:rPr>
      </w:pPr>
      <w:r>
        <w:rPr>
          <w:rFonts w:ascii="Arial" w:hAnsi="Arial" w:cs="Arial"/>
        </w:rPr>
        <w:t>R4-22</w:t>
      </w:r>
      <w:r w:rsidR="00D71FEB">
        <w:rPr>
          <w:rFonts w:ascii="Arial" w:hAnsi="Arial" w:cs="Arial"/>
        </w:rPr>
        <w:t>00441</w:t>
      </w:r>
      <w:r>
        <w:rPr>
          <w:rFonts w:ascii="Arial" w:hAnsi="Arial" w:cs="Arial"/>
        </w:rPr>
        <w:t xml:space="preserve"> “</w:t>
      </w:r>
      <w:r w:rsidRPr="00AB2108">
        <w:rPr>
          <w:rFonts w:ascii="Arial" w:hAnsi="Arial" w:cs="Arial"/>
        </w:rPr>
        <w:t>NR FDD HPUE MSD and system performance analyses</w:t>
      </w:r>
      <w:r>
        <w:rPr>
          <w:rFonts w:ascii="Arial" w:hAnsi="Arial" w:cs="Arial"/>
        </w:rPr>
        <w:t>”, Apple, Apple, 3GPP TSG-RAN WG4 Meeting #101bis-e, January 17</w:t>
      </w:r>
      <w:r>
        <w:rPr>
          <w:rFonts w:ascii="Arial" w:hAnsi="Arial" w:cs="Arial"/>
          <w:vertAlign w:val="superscript"/>
        </w:rPr>
        <w:t>th</w:t>
      </w:r>
      <w:r>
        <w:rPr>
          <w:rFonts w:ascii="Arial" w:hAnsi="Arial" w:cs="Arial"/>
        </w:rPr>
        <w:t xml:space="preserve"> – 25</w:t>
      </w:r>
      <w:r w:rsidRPr="00773E20">
        <w:rPr>
          <w:rFonts w:ascii="Arial" w:hAnsi="Arial" w:cs="Arial"/>
          <w:vertAlign w:val="superscript"/>
        </w:rPr>
        <w:t>t</w:t>
      </w:r>
      <w:r w:rsidRPr="00450387">
        <w:rPr>
          <w:rFonts w:ascii="Arial" w:hAnsi="Arial" w:cs="Arial"/>
          <w:vertAlign w:val="superscript"/>
        </w:rPr>
        <w:t>h</w:t>
      </w:r>
      <w:r>
        <w:rPr>
          <w:rFonts w:ascii="Arial" w:hAnsi="Arial" w:cs="Arial"/>
        </w:rPr>
        <w:t>, 2022</w:t>
      </w:r>
    </w:p>
    <w:p w14:paraId="06665867" w14:textId="2A2A388E" w:rsidR="00450387" w:rsidRDefault="00EC3EDB" w:rsidP="00EC3EDB">
      <w:pPr>
        <w:pStyle w:val="EX"/>
        <w:rPr>
          <w:rFonts w:ascii="Arial" w:hAnsi="Arial" w:cs="Arial"/>
        </w:rPr>
      </w:pPr>
      <w:r w:rsidRPr="00EC3EDB">
        <w:rPr>
          <w:rFonts w:ascii="Arial" w:hAnsi="Arial" w:cs="Arial"/>
        </w:rPr>
        <w:t>RP-210918 "Revised WID on support of reduced capability NR devices" Nokia, Ericsson, 3GPP TSG RAN Meeting #91-e, March 22</w:t>
      </w:r>
      <w:r w:rsidRPr="00EC3EDB">
        <w:rPr>
          <w:rFonts w:ascii="Arial" w:hAnsi="Arial" w:cs="Arial"/>
          <w:vertAlign w:val="superscript"/>
        </w:rPr>
        <w:t>nd</w:t>
      </w:r>
      <w:r>
        <w:rPr>
          <w:rFonts w:ascii="Arial" w:hAnsi="Arial" w:cs="Arial"/>
        </w:rPr>
        <w:t xml:space="preserve"> </w:t>
      </w:r>
      <w:r w:rsidR="00C97D27">
        <w:rPr>
          <w:rFonts w:ascii="Arial" w:hAnsi="Arial" w:cs="Arial"/>
        </w:rPr>
        <w:t>–</w:t>
      </w:r>
      <w:r w:rsidRPr="00EC3EDB">
        <w:rPr>
          <w:rFonts w:ascii="Arial" w:hAnsi="Arial" w:cs="Arial"/>
        </w:rPr>
        <w:t xml:space="preserve"> 26</w:t>
      </w:r>
      <w:r w:rsidRPr="00EC3EDB">
        <w:rPr>
          <w:rFonts w:ascii="Arial" w:hAnsi="Arial" w:cs="Arial"/>
          <w:vertAlign w:val="superscript"/>
        </w:rPr>
        <w:t>th</w:t>
      </w:r>
      <w:r w:rsidRPr="00EC3EDB">
        <w:rPr>
          <w:rFonts w:ascii="Arial" w:hAnsi="Arial" w:cs="Arial"/>
        </w:rPr>
        <w:t>, 2021</w:t>
      </w:r>
    </w:p>
    <w:p w14:paraId="30C86BA4" w14:textId="13D63412" w:rsidR="000514DB" w:rsidRDefault="000514DB" w:rsidP="000514DB">
      <w:pPr>
        <w:pStyle w:val="EX"/>
        <w:numPr>
          <w:ilvl w:val="0"/>
          <w:numId w:val="0"/>
        </w:numPr>
        <w:ind w:left="369" w:hanging="369"/>
        <w:rPr>
          <w:rFonts w:ascii="Arial" w:hAnsi="Arial" w:cs="Arial"/>
        </w:rPr>
      </w:pPr>
    </w:p>
    <w:p w14:paraId="1B984094" w14:textId="3AF21D6C" w:rsidR="000514DB" w:rsidRDefault="000514DB" w:rsidP="000514DB">
      <w:pPr>
        <w:pStyle w:val="EX"/>
        <w:numPr>
          <w:ilvl w:val="0"/>
          <w:numId w:val="0"/>
        </w:numPr>
        <w:ind w:left="369" w:hanging="369"/>
        <w:rPr>
          <w:rFonts w:ascii="Arial" w:hAnsi="Arial" w:cs="Arial"/>
        </w:rPr>
      </w:pPr>
    </w:p>
    <w:p w14:paraId="755F7FCA" w14:textId="766C0696" w:rsidR="000514DB" w:rsidRDefault="000514DB" w:rsidP="000514DB">
      <w:pPr>
        <w:pStyle w:val="EX"/>
        <w:numPr>
          <w:ilvl w:val="0"/>
          <w:numId w:val="0"/>
        </w:numPr>
        <w:ind w:left="369" w:hanging="369"/>
        <w:rPr>
          <w:rFonts w:ascii="Arial" w:hAnsi="Arial" w:cs="Arial"/>
        </w:rPr>
      </w:pPr>
    </w:p>
    <w:p w14:paraId="2945A087" w14:textId="6F2C3494" w:rsidR="000514DB" w:rsidRDefault="000514DB" w:rsidP="000514DB">
      <w:pPr>
        <w:pStyle w:val="EX"/>
        <w:numPr>
          <w:ilvl w:val="0"/>
          <w:numId w:val="0"/>
        </w:numPr>
        <w:ind w:left="369" w:hanging="369"/>
        <w:rPr>
          <w:rFonts w:ascii="Arial" w:hAnsi="Arial" w:cs="Arial"/>
        </w:rPr>
      </w:pPr>
    </w:p>
    <w:p w14:paraId="0DEA144B" w14:textId="681944E7" w:rsidR="000514DB" w:rsidRDefault="000514DB" w:rsidP="000514DB">
      <w:pPr>
        <w:pStyle w:val="EX"/>
        <w:numPr>
          <w:ilvl w:val="0"/>
          <w:numId w:val="0"/>
        </w:numPr>
        <w:ind w:left="369" w:hanging="369"/>
        <w:rPr>
          <w:rFonts w:ascii="Arial" w:hAnsi="Arial" w:cs="Arial"/>
        </w:rPr>
      </w:pPr>
    </w:p>
    <w:p w14:paraId="2C7552F2" w14:textId="2BFBDF83" w:rsidR="000514DB" w:rsidRDefault="000514DB" w:rsidP="000514DB">
      <w:pPr>
        <w:pStyle w:val="EX"/>
        <w:numPr>
          <w:ilvl w:val="0"/>
          <w:numId w:val="0"/>
        </w:numPr>
        <w:ind w:left="369" w:hanging="369"/>
        <w:rPr>
          <w:rFonts w:ascii="Arial" w:hAnsi="Arial" w:cs="Arial"/>
        </w:rPr>
      </w:pPr>
    </w:p>
    <w:p w14:paraId="45338315" w14:textId="64388B60" w:rsidR="000514DB" w:rsidRDefault="000514DB" w:rsidP="00AB2108">
      <w:pPr>
        <w:pStyle w:val="EX"/>
        <w:numPr>
          <w:ilvl w:val="0"/>
          <w:numId w:val="0"/>
        </w:numPr>
        <w:rPr>
          <w:rFonts w:ascii="Arial" w:hAnsi="Arial" w:cs="Arial"/>
        </w:rPr>
      </w:pPr>
    </w:p>
    <w:p w14:paraId="772B10E0" w14:textId="4F2EFA44" w:rsidR="000514DB" w:rsidRDefault="000514DB" w:rsidP="000514DB">
      <w:pPr>
        <w:pStyle w:val="Heading1"/>
      </w:pPr>
      <w:r>
        <w:lastRenderedPageBreak/>
        <w:t>5</w:t>
      </w:r>
      <w:r>
        <w:tab/>
        <w:t>Appendix</w:t>
      </w:r>
    </w:p>
    <w:p w14:paraId="6847DE67" w14:textId="2C002055" w:rsidR="000514DB" w:rsidRDefault="000514DB" w:rsidP="000514DB">
      <w:pPr>
        <w:pStyle w:val="EX"/>
        <w:numPr>
          <w:ilvl w:val="0"/>
          <w:numId w:val="0"/>
        </w:numPr>
        <w:ind w:left="369" w:hanging="369"/>
        <w:rPr>
          <w:rFonts w:ascii="Arial" w:hAnsi="Arial" w:cs="Arial"/>
        </w:rPr>
      </w:pPr>
    </w:p>
    <w:p w14:paraId="5F5DA1DE" w14:textId="5C8B4FB6" w:rsidR="000514DB" w:rsidRPr="006C019D" w:rsidRDefault="000514DB" w:rsidP="000514DB">
      <w:pPr>
        <w:pStyle w:val="CRCoverPage"/>
        <w:tabs>
          <w:tab w:val="right" w:pos="9639"/>
        </w:tabs>
        <w:spacing w:after="0"/>
        <w:rPr>
          <w:b/>
          <w:i/>
          <w:noProof/>
          <w:sz w:val="24"/>
          <w:szCs w:val="24"/>
        </w:rPr>
      </w:pPr>
      <w:bookmarkStart w:id="1" w:name="_Ref399006623"/>
      <w:bookmarkStart w:id="2"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w:t>
      </w:r>
      <w:r w:rsidR="00AB2108">
        <w:rPr>
          <w:b/>
          <w:noProof/>
          <w:sz w:val="24"/>
        </w:rPr>
        <w:t>bis</w:t>
      </w:r>
      <w:r>
        <w:rPr>
          <w:b/>
          <w:noProof/>
          <w:sz w:val="24"/>
        </w:rPr>
        <w:t>-e</w:t>
      </w:r>
      <w:r>
        <w:rPr>
          <w:b/>
          <w:i/>
          <w:noProof/>
          <w:sz w:val="28"/>
        </w:rPr>
        <w:tab/>
      </w:r>
      <w:r w:rsidRPr="006C019D">
        <w:rPr>
          <w:b/>
          <w:iCs/>
          <w:noProof/>
          <w:sz w:val="24"/>
          <w:szCs w:val="24"/>
        </w:rPr>
        <w:fldChar w:fldCharType="begin"/>
      </w:r>
      <w:r w:rsidRPr="006C019D">
        <w:rPr>
          <w:b/>
          <w:iCs/>
          <w:noProof/>
          <w:sz w:val="24"/>
          <w:szCs w:val="24"/>
        </w:rPr>
        <w:instrText xml:space="preserve"> DOCPROPERTY  Tdoc#  \* MERGEFORMAT </w:instrText>
      </w:r>
      <w:r w:rsidRPr="006C019D">
        <w:rPr>
          <w:b/>
          <w:iCs/>
          <w:noProof/>
          <w:sz w:val="24"/>
          <w:szCs w:val="24"/>
        </w:rPr>
        <w:fldChar w:fldCharType="separate"/>
      </w:r>
      <w:r w:rsidRPr="006C019D">
        <w:rPr>
          <w:b/>
          <w:iCs/>
          <w:noProof/>
          <w:sz w:val="24"/>
          <w:szCs w:val="24"/>
        </w:rPr>
        <w:t>R4-</w:t>
      </w:r>
      <w:r w:rsidRPr="006C019D">
        <w:rPr>
          <w:b/>
          <w:iCs/>
          <w:noProof/>
          <w:sz w:val="24"/>
          <w:szCs w:val="24"/>
        </w:rPr>
        <w:fldChar w:fldCharType="end"/>
      </w:r>
      <w:r w:rsidRPr="006C019D">
        <w:rPr>
          <w:b/>
          <w:iCs/>
          <w:noProof/>
          <w:sz w:val="24"/>
          <w:szCs w:val="24"/>
        </w:rPr>
        <w:t>2</w:t>
      </w:r>
      <w:r w:rsidR="00AB2108">
        <w:rPr>
          <w:b/>
          <w:iCs/>
          <w:noProof/>
          <w:sz w:val="24"/>
          <w:szCs w:val="24"/>
        </w:rPr>
        <w:t>2</w:t>
      </w:r>
      <w:r w:rsidRPr="006C019D">
        <w:rPr>
          <w:b/>
          <w:iCs/>
          <w:noProof/>
          <w:sz w:val="24"/>
          <w:szCs w:val="24"/>
        </w:rPr>
        <w:t>xxxxx</w:t>
      </w:r>
    </w:p>
    <w:p w14:paraId="2617B3FE" w14:textId="1B987346" w:rsidR="000514DB" w:rsidRDefault="00AB2108" w:rsidP="000514DB">
      <w:pPr>
        <w:pStyle w:val="CRCoverPage"/>
        <w:outlineLvl w:val="0"/>
        <w:rPr>
          <w:b/>
          <w:noProof/>
          <w:sz w:val="24"/>
        </w:rPr>
      </w:pPr>
      <w:r w:rsidRPr="00AB2108">
        <w:rPr>
          <w:b/>
          <w:noProof/>
          <w:sz w:val="24"/>
        </w:rPr>
        <w:t>Online, January 17</w:t>
      </w:r>
      <w:r w:rsidRPr="00AB2108">
        <w:rPr>
          <w:b/>
          <w:noProof/>
          <w:sz w:val="24"/>
          <w:vertAlign w:val="superscript"/>
        </w:rPr>
        <w:t>th</w:t>
      </w:r>
      <w:r w:rsidRPr="00AB2108">
        <w:rPr>
          <w:b/>
          <w:noProof/>
          <w:sz w:val="24"/>
        </w:rPr>
        <w:t xml:space="preserve"> – 25</w:t>
      </w:r>
      <w:r w:rsidRPr="00AB2108">
        <w:rPr>
          <w:b/>
          <w:noProof/>
          <w:sz w:val="24"/>
          <w:vertAlign w:val="superscript"/>
        </w:rPr>
        <w:t>th</w:t>
      </w:r>
      <w:r w:rsidRPr="00AB2108">
        <w:rPr>
          <w:b/>
          <w:noProof/>
          <w:sz w:val="24"/>
        </w:rPr>
        <w:t>, 2022</w:t>
      </w:r>
    </w:p>
    <w:p w14:paraId="7660D1CA" w14:textId="77777777" w:rsidR="000514DB" w:rsidRPr="00CF195E" w:rsidRDefault="000514DB" w:rsidP="000514DB">
      <w:pPr>
        <w:pBdr>
          <w:top w:val="single" w:sz="4" w:space="1" w:color="auto"/>
        </w:pBdr>
        <w:spacing w:after="0"/>
        <w:rPr>
          <w:b/>
          <w:kern w:val="2"/>
          <w:sz w:val="16"/>
          <w:szCs w:val="16"/>
        </w:rPr>
      </w:pPr>
    </w:p>
    <w:bookmarkEnd w:id="1"/>
    <w:bookmarkEnd w:id="2"/>
    <w:p w14:paraId="7B5D2D43" w14:textId="77777777" w:rsidR="000514DB" w:rsidRDefault="000514DB" w:rsidP="000514DB">
      <w:pPr>
        <w:spacing w:after="60"/>
        <w:ind w:left="1985" w:hanging="1985"/>
        <w:rPr>
          <w:rFonts w:ascii="Arial" w:hAnsi="Arial" w:cs="Arial"/>
          <w:bCs/>
        </w:rPr>
      </w:pPr>
      <w:r>
        <w:rPr>
          <w:rFonts w:ascii="Arial" w:hAnsi="Arial" w:cs="Arial"/>
          <w:b/>
        </w:rPr>
        <w:t>Title:</w:t>
      </w:r>
      <w:r>
        <w:rPr>
          <w:rFonts w:ascii="Arial" w:hAnsi="Arial" w:cs="Arial"/>
          <w:b/>
        </w:rPr>
        <w:tab/>
      </w:r>
      <w:r w:rsidRPr="000F2156">
        <w:rPr>
          <w:rFonts w:ascii="Arial" w:hAnsi="Arial" w:cs="Arial"/>
        </w:rPr>
        <w:t>[</w:t>
      </w:r>
      <w:r w:rsidRPr="003F5011">
        <w:rPr>
          <w:rFonts w:ascii="Arial" w:hAnsi="Arial" w:cs="Arial"/>
        </w:rPr>
        <w:t>draft</w:t>
      </w:r>
      <w:r>
        <w:rPr>
          <w:rFonts w:ascii="Arial" w:hAnsi="Arial" w:cs="Arial"/>
        </w:rPr>
        <w:t>]</w:t>
      </w:r>
      <w:r>
        <w:rPr>
          <w:rFonts w:ascii="Arial" w:hAnsi="Arial" w:cs="Arial"/>
          <w:b/>
        </w:rPr>
        <w:t xml:space="preserve"> </w:t>
      </w:r>
      <w:r w:rsidRPr="00395883">
        <w:rPr>
          <w:rFonts w:ascii="Arial" w:hAnsi="Arial" w:cs="Arial"/>
        </w:rPr>
        <w:t xml:space="preserve">LS </w:t>
      </w:r>
      <w:bookmarkStart w:id="3" w:name="OLE_LINK39"/>
      <w:r>
        <w:rPr>
          <w:rFonts w:ascii="Arial" w:hAnsi="Arial" w:cs="Arial"/>
        </w:rPr>
        <w:t xml:space="preserve">on </w:t>
      </w:r>
      <w:bookmarkEnd w:id="3"/>
      <w:r>
        <w:rPr>
          <w:rFonts w:ascii="Arial" w:hAnsi="Arial" w:cs="Arial"/>
        </w:rPr>
        <w:t>half-duplex operation for PC2 FDD bands</w:t>
      </w:r>
      <w:r w:rsidRPr="006438D6">
        <w:rPr>
          <w:rFonts w:ascii="Arial" w:hAnsi="Arial" w:cs="Arial"/>
        </w:rPr>
        <w:t xml:space="preserve"> </w:t>
      </w:r>
    </w:p>
    <w:p w14:paraId="409E5F59" w14:textId="77777777" w:rsidR="000514DB" w:rsidRDefault="000514DB" w:rsidP="000514DB">
      <w:pPr>
        <w:spacing w:after="60"/>
        <w:ind w:left="1985" w:hanging="1985"/>
        <w:rPr>
          <w:rFonts w:ascii="Arial" w:hAnsi="Arial" w:cs="Arial"/>
          <w:bCs/>
        </w:rPr>
      </w:pPr>
      <w:r>
        <w:rPr>
          <w:rFonts w:ascii="Arial" w:hAnsi="Arial" w:cs="Arial"/>
          <w:b/>
        </w:rPr>
        <w:t>Response to:</w:t>
      </w:r>
      <w:r>
        <w:rPr>
          <w:rFonts w:ascii="Arial" w:hAnsi="Arial" w:cs="Arial"/>
          <w:bCs/>
        </w:rPr>
        <w:tab/>
      </w:r>
    </w:p>
    <w:p w14:paraId="16BCA47D" w14:textId="77777777" w:rsidR="000514DB" w:rsidRPr="00C72F5F" w:rsidRDefault="000514DB" w:rsidP="000514DB">
      <w:pPr>
        <w:spacing w:after="60"/>
        <w:ind w:left="1985" w:hanging="1985"/>
        <w:rPr>
          <w:rFonts w:ascii="Arial" w:hAnsi="Arial" w:cs="Arial"/>
          <w:bCs/>
        </w:rPr>
      </w:pPr>
      <w:r>
        <w:rPr>
          <w:rFonts w:ascii="Arial" w:hAnsi="Arial" w:cs="Arial"/>
          <w:b/>
        </w:rPr>
        <w:t>Release:</w:t>
      </w:r>
      <w:r>
        <w:rPr>
          <w:rFonts w:ascii="Arial" w:hAnsi="Arial" w:cs="Arial"/>
          <w:bCs/>
        </w:rPr>
        <w:tab/>
      </w:r>
      <w:r w:rsidRPr="00423661">
        <w:rPr>
          <w:rFonts w:ascii="Arial" w:hAnsi="Arial" w:cs="Arial"/>
          <w:bCs/>
        </w:rPr>
        <w:t xml:space="preserve">Release </w:t>
      </w:r>
      <w:r w:rsidRPr="00423661">
        <w:rPr>
          <w:rFonts w:ascii="Arial" w:hAnsi="Arial" w:cs="Arial" w:hint="eastAsia"/>
          <w:bCs/>
        </w:rPr>
        <w:t>1</w:t>
      </w:r>
      <w:r>
        <w:rPr>
          <w:rFonts w:ascii="Arial" w:hAnsi="Arial" w:cs="Arial"/>
          <w:bCs/>
        </w:rPr>
        <w:t>7</w:t>
      </w:r>
    </w:p>
    <w:p w14:paraId="5DFF0A01" w14:textId="77777777" w:rsidR="000514DB" w:rsidRPr="00F730CC" w:rsidRDefault="000514DB" w:rsidP="000514DB">
      <w:pPr>
        <w:spacing w:after="60"/>
        <w:ind w:left="1985" w:hanging="1985"/>
        <w:rPr>
          <w:rFonts w:ascii="Arial" w:hAnsi="Arial" w:cs="Arial"/>
          <w:b/>
        </w:rPr>
      </w:pPr>
      <w:r>
        <w:rPr>
          <w:rFonts w:ascii="Arial" w:hAnsi="Arial" w:cs="Arial"/>
          <w:b/>
        </w:rPr>
        <w:t>Work Item:</w:t>
      </w:r>
      <w:r>
        <w:rPr>
          <w:rFonts w:ascii="Arial" w:hAnsi="Arial" w:cs="Arial"/>
          <w:bCs/>
        </w:rPr>
        <w:tab/>
      </w:r>
      <w:r w:rsidRPr="006C019D">
        <w:rPr>
          <w:rFonts w:ascii="Arial" w:hAnsi="Arial" w:cs="Arial"/>
          <w:bCs/>
        </w:rPr>
        <w:t>NR_PC2_UE_FDD-Core</w:t>
      </w:r>
    </w:p>
    <w:p w14:paraId="1C2FA3DA" w14:textId="77777777" w:rsidR="000514DB" w:rsidRDefault="000514DB" w:rsidP="000514DB">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7B7C4F">
        <w:rPr>
          <w:rFonts w:ascii="Arial" w:hAnsi="Arial" w:cs="Arial"/>
          <w:bCs/>
          <w:color w:val="000000" w:themeColor="text1"/>
        </w:rPr>
        <w:t>Apple</w:t>
      </w:r>
    </w:p>
    <w:p w14:paraId="6AADB3B7" w14:textId="77777777" w:rsidR="000514DB" w:rsidRDefault="000514DB" w:rsidP="000514DB">
      <w:pPr>
        <w:spacing w:after="60"/>
        <w:ind w:left="1985" w:hanging="1985"/>
        <w:rPr>
          <w:rFonts w:ascii="Arial" w:hAnsi="Arial" w:cs="Arial"/>
          <w:bCs/>
        </w:rPr>
      </w:pPr>
      <w:r>
        <w:rPr>
          <w:rFonts w:ascii="Arial" w:hAnsi="Arial" w:cs="Arial"/>
          <w:b/>
        </w:rPr>
        <w:t>To:</w:t>
      </w:r>
      <w:r>
        <w:rPr>
          <w:rFonts w:ascii="Arial" w:hAnsi="Arial" w:cs="Arial"/>
          <w:bCs/>
        </w:rPr>
        <w:tab/>
        <w:t>RAN1, RAN2</w:t>
      </w:r>
    </w:p>
    <w:p w14:paraId="24D4654C" w14:textId="77777777" w:rsidR="000514DB" w:rsidRDefault="000514DB" w:rsidP="000514DB">
      <w:pPr>
        <w:spacing w:after="60"/>
        <w:ind w:left="1985" w:hanging="1985"/>
        <w:rPr>
          <w:rFonts w:ascii="Arial" w:hAnsi="Arial" w:cs="Arial"/>
          <w:bCs/>
        </w:rPr>
      </w:pPr>
      <w:r>
        <w:rPr>
          <w:rFonts w:ascii="Arial" w:hAnsi="Arial" w:cs="Arial"/>
          <w:b/>
        </w:rPr>
        <w:t>Cc:</w:t>
      </w:r>
      <w:r>
        <w:rPr>
          <w:rFonts w:ascii="Arial" w:hAnsi="Arial" w:cs="Arial"/>
          <w:bCs/>
        </w:rPr>
        <w:tab/>
      </w:r>
    </w:p>
    <w:p w14:paraId="033EEB15" w14:textId="77777777" w:rsidR="000514DB" w:rsidRDefault="000514DB" w:rsidP="000514DB">
      <w:pPr>
        <w:tabs>
          <w:tab w:val="left" w:pos="2268"/>
        </w:tabs>
        <w:rPr>
          <w:rFonts w:ascii="Arial" w:hAnsi="Arial" w:cs="Arial"/>
          <w:bCs/>
        </w:rPr>
      </w:pPr>
      <w:r>
        <w:rPr>
          <w:rFonts w:ascii="Arial" w:hAnsi="Arial" w:cs="Arial"/>
          <w:b/>
        </w:rPr>
        <w:t>Contact Person:</w:t>
      </w:r>
      <w:r>
        <w:rPr>
          <w:rFonts w:ascii="Arial" w:hAnsi="Arial" w:cs="Arial"/>
          <w:bCs/>
        </w:rPr>
        <w:tab/>
      </w:r>
    </w:p>
    <w:p w14:paraId="1FCD2945" w14:textId="77777777" w:rsidR="000514DB" w:rsidRDefault="000514DB" w:rsidP="000514DB">
      <w:pPr>
        <w:numPr>
          <w:ilvl w:val="0"/>
          <w:numId w:val="17"/>
        </w:numPr>
        <w:overflowPunct w:val="0"/>
        <w:autoSpaceDE w:val="0"/>
        <w:autoSpaceDN w:val="0"/>
        <w:adjustRightInd w:val="0"/>
        <w:textAlignment w:val="baseline"/>
      </w:pPr>
      <w:r>
        <w:t>Name:</w:t>
      </w:r>
      <w:r>
        <w:tab/>
        <w:t>James Wang</w:t>
      </w:r>
    </w:p>
    <w:p w14:paraId="1CB50F17" w14:textId="77777777" w:rsidR="000514DB" w:rsidRDefault="000514DB" w:rsidP="000514DB">
      <w:pPr>
        <w:numPr>
          <w:ilvl w:val="0"/>
          <w:numId w:val="17"/>
        </w:numPr>
        <w:overflowPunct w:val="0"/>
        <w:autoSpaceDE w:val="0"/>
        <w:autoSpaceDN w:val="0"/>
        <w:adjustRightInd w:val="0"/>
        <w:textAlignment w:val="baseline"/>
      </w:pPr>
      <w:r w:rsidRPr="00CF464D">
        <w:t>E-mail Address:</w:t>
      </w:r>
      <w:r>
        <w:tab/>
        <w:t>fucheng_wang</w:t>
      </w:r>
      <w:r w:rsidRPr="00902853">
        <w:t>@</w:t>
      </w:r>
      <w:r>
        <w:t>apple</w:t>
      </w:r>
      <w:r w:rsidRPr="00902853">
        <w:t>.com</w:t>
      </w:r>
      <w:r>
        <w:t xml:space="preserve"> </w:t>
      </w:r>
    </w:p>
    <w:p w14:paraId="6910B9B9" w14:textId="77777777" w:rsidR="000514DB" w:rsidRDefault="000514DB" w:rsidP="000514DB">
      <w:pPr>
        <w:spacing w:after="60"/>
        <w:ind w:left="1985" w:hanging="1985"/>
        <w:rPr>
          <w:rFonts w:ascii="Arial" w:hAnsi="Arial" w:cs="Arial"/>
          <w:b/>
        </w:rPr>
      </w:pPr>
    </w:p>
    <w:p w14:paraId="41B1DC47" w14:textId="77777777" w:rsidR="000514DB" w:rsidRDefault="000514DB" w:rsidP="000514D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eastAsia="SimSun" w:cs="Arial"/>
            <w:b/>
          </w:rPr>
          <w:t>mailto:3GPPLiaison@etsi.org</w:t>
        </w:r>
      </w:hyperlink>
      <w:r>
        <w:rPr>
          <w:rFonts w:ascii="Arial" w:hAnsi="Arial" w:cs="Arial"/>
          <w:b/>
        </w:rPr>
        <w:t xml:space="preserve"> </w:t>
      </w:r>
      <w:r>
        <w:rPr>
          <w:rFonts w:ascii="Arial" w:hAnsi="Arial" w:cs="Arial"/>
          <w:bCs/>
        </w:rPr>
        <w:tab/>
      </w:r>
    </w:p>
    <w:p w14:paraId="5F5C631D" w14:textId="77777777" w:rsidR="000514DB" w:rsidRPr="00E43346" w:rsidRDefault="000514DB" w:rsidP="000514DB">
      <w:pPr>
        <w:tabs>
          <w:tab w:val="left" w:pos="2268"/>
        </w:tabs>
        <w:rPr>
          <w:b/>
        </w:rPr>
      </w:pPr>
      <w:r w:rsidRPr="002C3A78">
        <w:rPr>
          <w:b/>
        </w:rPr>
        <w:t>Attachments:</w:t>
      </w:r>
    </w:p>
    <w:p w14:paraId="765328C6" w14:textId="77777777" w:rsidR="000514DB" w:rsidRPr="00032E9C" w:rsidRDefault="000514DB" w:rsidP="000514DB">
      <w:pPr>
        <w:tabs>
          <w:tab w:val="left" w:pos="2268"/>
        </w:tabs>
        <w:spacing w:after="120"/>
        <w:rPr>
          <w:bCs/>
        </w:rPr>
      </w:pPr>
      <w:r>
        <w:rPr>
          <w:bCs/>
        </w:rPr>
        <w:t>none</w:t>
      </w:r>
    </w:p>
    <w:p w14:paraId="6F501A94" w14:textId="77777777" w:rsidR="000514DB" w:rsidRDefault="000514DB" w:rsidP="000514DB">
      <w:pPr>
        <w:tabs>
          <w:tab w:val="left" w:pos="2268"/>
        </w:tabs>
        <w:spacing w:after="0"/>
        <w:rPr>
          <w:rFonts w:ascii="Arial" w:hAnsi="Arial" w:cs="Arial"/>
          <w:bCs/>
        </w:rPr>
      </w:pPr>
    </w:p>
    <w:p w14:paraId="6F189A45" w14:textId="77777777" w:rsidR="000514DB" w:rsidRPr="004F1FD9" w:rsidRDefault="000514DB" w:rsidP="000514DB">
      <w:pPr>
        <w:spacing w:after="120"/>
        <w:rPr>
          <w:b/>
        </w:rPr>
      </w:pPr>
      <w:r w:rsidRPr="004F1FD9">
        <w:rPr>
          <w:b/>
        </w:rPr>
        <w:t>1. Overall Description:</w:t>
      </w:r>
    </w:p>
    <w:p w14:paraId="1DE348AC" w14:textId="2B54CB64" w:rsidR="000514DB" w:rsidRDefault="000514DB" w:rsidP="000514DB">
      <w:pPr>
        <w:spacing w:after="120"/>
      </w:pPr>
      <w:r>
        <w:t>During the development of High-Power UE (power class 2) for FDD bands, RAN4 has recognized that for certain FDD bands with narrow dup</w:t>
      </w:r>
      <w:r w:rsidR="00AB2108">
        <w:t>l</w:t>
      </w:r>
      <w:r>
        <w:t xml:space="preserve">ex gap, the uplink performance improvement from high-power operation cannot be realized due to the necessary uplink RB allocation restriction to avoid the impact to downlink reference sensitivity. Such deficiency however can be mitigated by half-duplex operation in high power domain where </w:t>
      </w:r>
      <w:r w:rsidRPr="00A94401">
        <w:t>full UL RB allocation can be transmitted in a short time burst to save more power consumption</w:t>
      </w:r>
      <w:r>
        <w:t xml:space="preserve"> and mitigate SAR issue.</w:t>
      </w:r>
    </w:p>
    <w:p w14:paraId="3367AED9" w14:textId="77777777" w:rsidR="000514DB" w:rsidRDefault="000514DB" w:rsidP="000514DB">
      <w:pPr>
        <w:spacing w:after="0"/>
      </w:pPr>
    </w:p>
    <w:p w14:paraId="2BAB95CC" w14:textId="77777777" w:rsidR="000514DB" w:rsidRDefault="000514DB" w:rsidP="000514DB">
      <w:pPr>
        <w:spacing w:after="120"/>
      </w:pPr>
      <w:r>
        <w:t>On realizing the benefit of half-duplex operation for certain FDD bands in high power domain, RAN4 has agreed to i</w:t>
      </w:r>
      <w:r w:rsidRPr="00A94401">
        <w:t>ntroduce an optional UE feature to support a hybrid duplex operation switchable between full and half-duplex modes for PC2 FDD bands.</w:t>
      </w:r>
      <w:r>
        <w:t xml:space="preserve"> It is RAN4’s understanding that to support this new feature, the development of associated RAN1 and RAN2 requirements is anticipated.</w:t>
      </w:r>
    </w:p>
    <w:p w14:paraId="709E7A37" w14:textId="77777777" w:rsidR="000514DB" w:rsidRPr="00A94401" w:rsidRDefault="000514DB" w:rsidP="000514DB">
      <w:pPr>
        <w:spacing w:after="0"/>
      </w:pPr>
      <w:r>
        <w:t xml:space="preserve">           </w:t>
      </w:r>
    </w:p>
    <w:p w14:paraId="0AC37849" w14:textId="77777777" w:rsidR="000514DB" w:rsidRPr="004F1FD9" w:rsidRDefault="000514DB" w:rsidP="000514DB">
      <w:pPr>
        <w:spacing w:after="120"/>
        <w:rPr>
          <w:b/>
        </w:rPr>
      </w:pPr>
      <w:r w:rsidRPr="004F1FD9">
        <w:rPr>
          <w:b/>
        </w:rPr>
        <w:t>2. Actions:</w:t>
      </w:r>
    </w:p>
    <w:p w14:paraId="07EA3601" w14:textId="77777777" w:rsidR="000514DB" w:rsidRPr="004F1FD9" w:rsidRDefault="000514DB" w:rsidP="000514DB">
      <w:pPr>
        <w:spacing w:after="120"/>
        <w:ind w:left="1985" w:hanging="1985"/>
        <w:rPr>
          <w:b/>
        </w:rPr>
      </w:pPr>
      <w:r w:rsidRPr="004F1FD9">
        <w:rPr>
          <w:b/>
        </w:rPr>
        <w:t>To: 3GPP TSG RAN WG</w:t>
      </w:r>
      <w:r>
        <w:rPr>
          <w:b/>
        </w:rPr>
        <w:t>1 and WG2</w:t>
      </w:r>
    </w:p>
    <w:p w14:paraId="3F2681A8" w14:textId="77777777" w:rsidR="000514DB" w:rsidRPr="004F1FD9" w:rsidRDefault="000514DB" w:rsidP="000514DB">
      <w:pPr>
        <w:spacing w:after="120"/>
      </w:pPr>
      <w:r w:rsidRPr="004F1FD9">
        <w:rPr>
          <w:b/>
        </w:rPr>
        <w:t xml:space="preserve">ACTION: </w:t>
      </w:r>
      <w:r w:rsidRPr="004F1FD9">
        <w:t xml:space="preserve">RAN4 </w:t>
      </w:r>
      <w:r>
        <w:t>respectfully</w:t>
      </w:r>
      <w:r w:rsidRPr="004F1FD9">
        <w:t xml:space="preserve"> asks RAN</w:t>
      </w:r>
      <w:r>
        <w:t>1</w:t>
      </w:r>
      <w:r w:rsidRPr="004F1FD9">
        <w:t xml:space="preserve"> </w:t>
      </w:r>
      <w:r>
        <w:t>and RAN2 to take the RAN4 agreement into consideration and to develop the necessary requirements to support the said new UE feature.</w:t>
      </w:r>
    </w:p>
    <w:p w14:paraId="4348D3D6" w14:textId="77777777" w:rsidR="000514DB" w:rsidRPr="004F1FD9" w:rsidRDefault="000514DB" w:rsidP="000514DB">
      <w:pPr>
        <w:spacing w:after="0"/>
        <w:ind w:left="994" w:hanging="994"/>
        <w:rPr>
          <w:b/>
        </w:rPr>
      </w:pPr>
    </w:p>
    <w:p w14:paraId="5BF38F5C" w14:textId="77777777" w:rsidR="000514DB" w:rsidRPr="004F1FD9" w:rsidRDefault="000514DB" w:rsidP="000514DB">
      <w:pPr>
        <w:spacing w:after="120"/>
        <w:rPr>
          <w:b/>
        </w:rPr>
      </w:pPr>
      <w:r w:rsidRPr="004F1FD9">
        <w:rPr>
          <w:b/>
        </w:rPr>
        <w:t>3. Date of Next TSG-RAN WG4 Meetings:</w:t>
      </w:r>
    </w:p>
    <w:p w14:paraId="1BA1DB91" w14:textId="3AEBFA5E" w:rsidR="000514DB" w:rsidRDefault="000514DB" w:rsidP="000514DB">
      <w:pPr>
        <w:tabs>
          <w:tab w:val="left" w:pos="3119"/>
        </w:tabs>
        <w:snapToGrid w:val="0"/>
        <w:spacing w:after="120"/>
        <w:ind w:left="2268" w:hanging="2268"/>
      </w:pPr>
      <w:r w:rsidRPr="000F2156">
        <w:t>3GPP RAN4</w:t>
      </w:r>
      <w:r w:rsidRPr="000F2156">
        <w:rPr>
          <w:rFonts w:hint="eastAsia"/>
        </w:rPr>
        <w:t xml:space="preserve"> </w:t>
      </w:r>
      <w:r w:rsidRPr="000F2156">
        <w:t>#</w:t>
      </w:r>
      <w:r>
        <w:rPr>
          <w:rFonts w:hint="eastAsia"/>
        </w:rPr>
        <w:t>1</w:t>
      </w:r>
      <w:r>
        <w:t>02-</w:t>
      </w:r>
      <w:r w:rsidRPr="000F2156">
        <w:rPr>
          <w:rFonts w:hint="eastAsia"/>
        </w:rPr>
        <w:t>e</w:t>
      </w:r>
      <w:r w:rsidRPr="000F2156">
        <w:t xml:space="preserve"> </w:t>
      </w:r>
      <w:r w:rsidRPr="000F2156">
        <w:tab/>
      </w:r>
      <w:r w:rsidRPr="000F2156">
        <w:tab/>
      </w:r>
      <w:r>
        <w:t>February 21</w:t>
      </w:r>
      <w:r w:rsidRPr="00F44EC2">
        <w:rPr>
          <w:vertAlign w:val="superscript"/>
        </w:rPr>
        <w:t>st</w:t>
      </w:r>
      <w:r>
        <w:t xml:space="preserve"> </w:t>
      </w:r>
      <w:r w:rsidRPr="000F2156">
        <w:t xml:space="preserve">– </w:t>
      </w:r>
      <w:r>
        <w:t>March 3</w:t>
      </w:r>
      <w:r w:rsidRPr="00F44EC2">
        <w:rPr>
          <w:vertAlign w:val="superscript"/>
        </w:rPr>
        <w:t>rd</w:t>
      </w:r>
      <w:r>
        <w:t>, 2022</w:t>
      </w:r>
      <w:r w:rsidRPr="000F2156">
        <w:tab/>
      </w:r>
      <w:r w:rsidRPr="000F2156">
        <w:tab/>
        <w:t xml:space="preserve">        </w:t>
      </w:r>
      <w:r>
        <w:t xml:space="preserve"> Online</w:t>
      </w:r>
    </w:p>
    <w:p w14:paraId="1BE52257" w14:textId="59D7B339" w:rsidR="000514DB" w:rsidRPr="00EC3EDB" w:rsidRDefault="00AB2108" w:rsidP="000514DB">
      <w:pPr>
        <w:pStyle w:val="EX"/>
        <w:numPr>
          <w:ilvl w:val="0"/>
          <w:numId w:val="0"/>
        </w:numPr>
        <w:ind w:left="369" w:hanging="369"/>
        <w:rPr>
          <w:rFonts w:ascii="Arial" w:hAnsi="Arial" w:cs="Arial"/>
        </w:rPr>
      </w:pPr>
      <w:r w:rsidRPr="000F2156">
        <w:t>3GPP RAN4</w:t>
      </w:r>
      <w:r w:rsidRPr="000F2156">
        <w:rPr>
          <w:rFonts w:hint="eastAsia"/>
        </w:rPr>
        <w:t xml:space="preserve"> </w:t>
      </w:r>
      <w:r w:rsidRPr="000F2156">
        <w:t>#</w:t>
      </w:r>
      <w:r>
        <w:rPr>
          <w:rFonts w:hint="eastAsia"/>
        </w:rPr>
        <w:t>1</w:t>
      </w:r>
      <w:r>
        <w:t>03-</w:t>
      </w:r>
      <w:r w:rsidRPr="000F2156">
        <w:rPr>
          <w:rFonts w:hint="eastAsia"/>
        </w:rPr>
        <w:t>e</w:t>
      </w:r>
      <w:r w:rsidRPr="000F2156">
        <w:t xml:space="preserve"> </w:t>
      </w:r>
      <w:r w:rsidRPr="000F2156">
        <w:tab/>
      </w:r>
      <w:r w:rsidRPr="000F2156">
        <w:tab/>
      </w:r>
      <w:r>
        <w:tab/>
      </w:r>
      <w:r>
        <w:tab/>
      </w:r>
      <w:r>
        <w:tab/>
      </w:r>
      <w:r>
        <w:tab/>
        <w:t>May 16</w:t>
      </w:r>
      <w:r>
        <w:rPr>
          <w:vertAlign w:val="superscript"/>
        </w:rPr>
        <w:t>th</w:t>
      </w:r>
      <w:r>
        <w:t xml:space="preserve"> </w:t>
      </w:r>
      <w:r w:rsidRPr="000F2156">
        <w:t xml:space="preserve">– </w:t>
      </w:r>
      <w:r>
        <w:t>27</w:t>
      </w:r>
      <w:r>
        <w:rPr>
          <w:vertAlign w:val="superscript"/>
        </w:rPr>
        <w:t>th</w:t>
      </w:r>
      <w:r>
        <w:t>, 2022</w:t>
      </w:r>
      <w:r w:rsidRPr="000F2156">
        <w:tab/>
      </w:r>
      <w:r w:rsidRPr="000F2156">
        <w:tab/>
        <w:t xml:space="preserve">        </w:t>
      </w:r>
      <w:r>
        <w:tab/>
      </w:r>
      <w:r>
        <w:tab/>
        <w:t xml:space="preserve">   Online</w:t>
      </w:r>
    </w:p>
    <w:sectPr w:rsidR="000514DB" w:rsidRPr="00EC3EDB" w:rsidSect="00702A62">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C3AD7" w14:textId="77777777" w:rsidR="00A61808" w:rsidRDefault="00A61808">
      <w:r>
        <w:separator/>
      </w:r>
    </w:p>
  </w:endnote>
  <w:endnote w:type="continuationSeparator" w:id="0">
    <w:p w14:paraId="4F870FF3" w14:textId="77777777" w:rsidR="00A61808" w:rsidRDefault="00A6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81E9B" w14:textId="77777777" w:rsidR="00A61808" w:rsidRDefault="00A61808">
      <w:r>
        <w:separator/>
      </w:r>
    </w:p>
  </w:footnote>
  <w:footnote w:type="continuationSeparator" w:id="0">
    <w:p w14:paraId="0C413654" w14:textId="77777777" w:rsidR="00A61808" w:rsidRDefault="00A61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32AFC"/>
    <w:multiLevelType w:val="hybridMultilevel"/>
    <w:tmpl w:val="62443836"/>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9"/>
  </w:num>
  <w:num w:numId="8">
    <w:abstractNumId w:val="4"/>
  </w:num>
  <w:num w:numId="9">
    <w:abstractNumId w:val="10"/>
  </w:num>
  <w:num w:numId="10">
    <w:abstractNumId w:val="5"/>
  </w:num>
  <w:num w:numId="11">
    <w:abstractNumId w:val="6"/>
  </w:num>
  <w:num w:numId="12">
    <w:abstractNumId w:val="15"/>
  </w:num>
  <w:num w:numId="13">
    <w:abstractNumId w:val="7"/>
  </w:num>
  <w:num w:numId="14">
    <w:abstractNumId w:val="12"/>
  </w:num>
  <w:num w:numId="15">
    <w:abstractNumId w:val="3"/>
  </w:num>
  <w:num w:numId="16">
    <w:abstractNumId w:val="11"/>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514DB"/>
    <w:rsid w:val="00051834"/>
    <w:rsid w:val="00054529"/>
    <w:rsid w:val="00054A22"/>
    <w:rsid w:val="00062023"/>
    <w:rsid w:val="000655A6"/>
    <w:rsid w:val="0006704A"/>
    <w:rsid w:val="00076A10"/>
    <w:rsid w:val="00080512"/>
    <w:rsid w:val="00092E3F"/>
    <w:rsid w:val="000A0C3B"/>
    <w:rsid w:val="000A365D"/>
    <w:rsid w:val="000A68F3"/>
    <w:rsid w:val="000B61FB"/>
    <w:rsid w:val="000C42A2"/>
    <w:rsid w:val="000C47C3"/>
    <w:rsid w:val="000D3A0E"/>
    <w:rsid w:val="000D3F36"/>
    <w:rsid w:val="000D58AB"/>
    <w:rsid w:val="000D7CB0"/>
    <w:rsid w:val="000E1A37"/>
    <w:rsid w:val="000E3DD4"/>
    <w:rsid w:val="000E5C81"/>
    <w:rsid w:val="0010115C"/>
    <w:rsid w:val="00102459"/>
    <w:rsid w:val="00104BC6"/>
    <w:rsid w:val="00114E2C"/>
    <w:rsid w:val="00121103"/>
    <w:rsid w:val="00123CFF"/>
    <w:rsid w:val="00133525"/>
    <w:rsid w:val="001604D6"/>
    <w:rsid w:val="0016611C"/>
    <w:rsid w:val="00166B5C"/>
    <w:rsid w:val="00181118"/>
    <w:rsid w:val="001841B1"/>
    <w:rsid w:val="001A286D"/>
    <w:rsid w:val="001A410D"/>
    <w:rsid w:val="001A4C42"/>
    <w:rsid w:val="001C2196"/>
    <w:rsid w:val="001C21C3"/>
    <w:rsid w:val="001C248C"/>
    <w:rsid w:val="001C56BD"/>
    <w:rsid w:val="001D02C2"/>
    <w:rsid w:val="001D1470"/>
    <w:rsid w:val="001D3BB1"/>
    <w:rsid w:val="001F0C1D"/>
    <w:rsid w:val="001F1132"/>
    <w:rsid w:val="001F168B"/>
    <w:rsid w:val="001F1C5E"/>
    <w:rsid w:val="001F3B78"/>
    <w:rsid w:val="00204648"/>
    <w:rsid w:val="002242B0"/>
    <w:rsid w:val="00225153"/>
    <w:rsid w:val="002314C2"/>
    <w:rsid w:val="002347A2"/>
    <w:rsid w:val="002450A4"/>
    <w:rsid w:val="00247926"/>
    <w:rsid w:val="00251170"/>
    <w:rsid w:val="00261B7C"/>
    <w:rsid w:val="0026424E"/>
    <w:rsid w:val="002675F0"/>
    <w:rsid w:val="00276EE4"/>
    <w:rsid w:val="00286E79"/>
    <w:rsid w:val="002A2A03"/>
    <w:rsid w:val="002B6339"/>
    <w:rsid w:val="002D61E3"/>
    <w:rsid w:val="002E00EE"/>
    <w:rsid w:val="002E3933"/>
    <w:rsid w:val="00301BA3"/>
    <w:rsid w:val="003027FC"/>
    <w:rsid w:val="00304174"/>
    <w:rsid w:val="00314533"/>
    <w:rsid w:val="003172DC"/>
    <w:rsid w:val="00323E12"/>
    <w:rsid w:val="0034052F"/>
    <w:rsid w:val="00342AC6"/>
    <w:rsid w:val="003531D5"/>
    <w:rsid w:val="00353AFA"/>
    <w:rsid w:val="0035462D"/>
    <w:rsid w:val="00370CDE"/>
    <w:rsid w:val="003765B8"/>
    <w:rsid w:val="003772E9"/>
    <w:rsid w:val="003926D8"/>
    <w:rsid w:val="00395678"/>
    <w:rsid w:val="00396C5D"/>
    <w:rsid w:val="003A0483"/>
    <w:rsid w:val="003A0817"/>
    <w:rsid w:val="003A6DE1"/>
    <w:rsid w:val="003B56B1"/>
    <w:rsid w:val="003B6035"/>
    <w:rsid w:val="003C1CD1"/>
    <w:rsid w:val="003C3971"/>
    <w:rsid w:val="003C5304"/>
    <w:rsid w:val="003C6A8C"/>
    <w:rsid w:val="003D38D9"/>
    <w:rsid w:val="003E7753"/>
    <w:rsid w:val="003E7E9F"/>
    <w:rsid w:val="003F0C6B"/>
    <w:rsid w:val="003F15CD"/>
    <w:rsid w:val="003F6ACE"/>
    <w:rsid w:val="00403E33"/>
    <w:rsid w:val="0041733B"/>
    <w:rsid w:val="00423334"/>
    <w:rsid w:val="00423521"/>
    <w:rsid w:val="00432F60"/>
    <w:rsid w:val="004345EC"/>
    <w:rsid w:val="00434AD6"/>
    <w:rsid w:val="00450387"/>
    <w:rsid w:val="00463240"/>
    <w:rsid w:val="004728B7"/>
    <w:rsid w:val="0047564A"/>
    <w:rsid w:val="00475AC6"/>
    <w:rsid w:val="004768DA"/>
    <w:rsid w:val="00476DFF"/>
    <w:rsid w:val="004819D5"/>
    <w:rsid w:val="004826A9"/>
    <w:rsid w:val="004A5DB3"/>
    <w:rsid w:val="004A5F6D"/>
    <w:rsid w:val="004A69CF"/>
    <w:rsid w:val="004B52BA"/>
    <w:rsid w:val="004B5C7F"/>
    <w:rsid w:val="004C15E6"/>
    <w:rsid w:val="004C1601"/>
    <w:rsid w:val="004D3578"/>
    <w:rsid w:val="004D5ADE"/>
    <w:rsid w:val="004E213A"/>
    <w:rsid w:val="004E4369"/>
    <w:rsid w:val="004F0988"/>
    <w:rsid w:val="004F3340"/>
    <w:rsid w:val="004F3E3D"/>
    <w:rsid w:val="004F7DEF"/>
    <w:rsid w:val="005023B7"/>
    <w:rsid w:val="00507C83"/>
    <w:rsid w:val="0051025D"/>
    <w:rsid w:val="00522548"/>
    <w:rsid w:val="00523D73"/>
    <w:rsid w:val="00530FB3"/>
    <w:rsid w:val="0053388B"/>
    <w:rsid w:val="00534BE5"/>
    <w:rsid w:val="00535773"/>
    <w:rsid w:val="00541E89"/>
    <w:rsid w:val="00543E6C"/>
    <w:rsid w:val="0054772A"/>
    <w:rsid w:val="005515E7"/>
    <w:rsid w:val="005613DC"/>
    <w:rsid w:val="00562360"/>
    <w:rsid w:val="005637A5"/>
    <w:rsid w:val="00564968"/>
    <w:rsid w:val="00565087"/>
    <w:rsid w:val="005724C4"/>
    <w:rsid w:val="00572E14"/>
    <w:rsid w:val="00594F57"/>
    <w:rsid w:val="005973BE"/>
    <w:rsid w:val="005A0CAB"/>
    <w:rsid w:val="005A0DD1"/>
    <w:rsid w:val="005A49C4"/>
    <w:rsid w:val="005A5605"/>
    <w:rsid w:val="005A5986"/>
    <w:rsid w:val="005A656C"/>
    <w:rsid w:val="005C06DD"/>
    <w:rsid w:val="005D2E01"/>
    <w:rsid w:val="005D7526"/>
    <w:rsid w:val="005D7A77"/>
    <w:rsid w:val="005E69AE"/>
    <w:rsid w:val="005F282D"/>
    <w:rsid w:val="006025FF"/>
    <w:rsid w:val="00602AEA"/>
    <w:rsid w:val="006054D7"/>
    <w:rsid w:val="006073EA"/>
    <w:rsid w:val="00607E3C"/>
    <w:rsid w:val="00611256"/>
    <w:rsid w:val="00614785"/>
    <w:rsid w:val="00614FDF"/>
    <w:rsid w:val="00617BD2"/>
    <w:rsid w:val="00624566"/>
    <w:rsid w:val="006246A7"/>
    <w:rsid w:val="00625205"/>
    <w:rsid w:val="0062595A"/>
    <w:rsid w:val="0063543D"/>
    <w:rsid w:val="00644C14"/>
    <w:rsid w:val="00647114"/>
    <w:rsid w:val="006528E0"/>
    <w:rsid w:val="00662106"/>
    <w:rsid w:val="00677B6B"/>
    <w:rsid w:val="00677EF6"/>
    <w:rsid w:val="006A2C3D"/>
    <w:rsid w:val="006A323F"/>
    <w:rsid w:val="006A7137"/>
    <w:rsid w:val="006A754B"/>
    <w:rsid w:val="006A7991"/>
    <w:rsid w:val="006B30D0"/>
    <w:rsid w:val="006C228A"/>
    <w:rsid w:val="006C3D95"/>
    <w:rsid w:val="006D14CE"/>
    <w:rsid w:val="006D7B72"/>
    <w:rsid w:val="006E5C86"/>
    <w:rsid w:val="006F0B3F"/>
    <w:rsid w:val="006F6B6E"/>
    <w:rsid w:val="00702A62"/>
    <w:rsid w:val="007035F0"/>
    <w:rsid w:val="0070556D"/>
    <w:rsid w:val="007123E6"/>
    <w:rsid w:val="00713C44"/>
    <w:rsid w:val="00717845"/>
    <w:rsid w:val="0073496B"/>
    <w:rsid w:val="00734A5B"/>
    <w:rsid w:val="007354AD"/>
    <w:rsid w:val="0074026F"/>
    <w:rsid w:val="007429F6"/>
    <w:rsid w:val="00744E76"/>
    <w:rsid w:val="00752198"/>
    <w:rsid w:val="00753881"/>
    <w:rsid w:val="00754854"/>
    <w:rsid w:val="007551EB"/>
    <w:rsid w:val="00755F93"/>
    <w:rsid w:val="00764567"/>
    <w:rsid w:val="00772FB5"/>
    <w:rsid w:val="00774DA4"/>
    <w:rsid w:val="00781F0F"/>
    <w:rsid w:val="0079207F"/>
    <w:rsid w:val="007B22B1"/>
    <w:rsid w:val="007B600E"/>
    <w:rsid w:val="007E5AE9"/>
    <w:rsid w:val="007E69E1"/>
    <w:rsid w:val="007F0F4A"/>
    <w:rsid w:val="007F3D97"/>
    <w:rsid w:val="008028A4"/>
    <w:rsid w:val="00820B25"/>
    <w:rsid w:val="008211F3"/>
    <w:rsid w:val="00830747"/>
    <w:rsid w:val="00831374"/>
    <w:rsid w:val="00836151"/>
    <w:rsid w:val="008467C4"/>
    <w:rsid w:val="00857DED"/>
    <w:rsid w:val="00866476"/>
    <w:rsid w:val="008768CA"/>
    <w:rsid w:val="00886D52"/>
    <w:rsid w:val="0089062C"/>
    <w:rsid w:val="00891AE5"/>
    <w:rsid w:val="00895EC5"/>
    <w:rsid w:val="008A3527"/>
    <w:rsid w:val="008A5F18"/>
    <w:rsid w:val="008A645A"/>
    <w:rsid w:val="008B5275"/>
    <w:rsid w:val="008B58D4"/>
    <w:rsid w:val="008C384C"/>
    <w:rsid w:val="008C48CC"/>
    <w:rsid w:val="008C494B"/>
    <w:rsid w:val="008C74C8"/>
    <w:rsid w:val="008E68C8"/>
    <w:rsid w:val="008E7986"/>
    <w:rsid w:val="008F626A"/>
    <w:rsid w:val="0090271F"/>
    <w:rsid w:val="00902BA5"/>
    <w:rsid w:val="00902E23"/>
    <w:rsid w:val="0090641E"/>
    <w:rsid w:val="00906B51"/>
    <w:rsid w:val="0091018D"/>
    <w:rsid w:val="009114D7"/>
    <w:rsid w:val="0091348E"/>
    <w:rsid w:val="00917CCB"/>
    <w:rsid w:val="00921E71"/>
    <w:rsid w:val="00930919"/>
    <w:rsid w:val="00942EC2"/>
    <w:rsid w:val="00945DDF"/>
    <w:rsid w:val="0094625B"/>
    <w:rsid w:val="0095039B"/>
    <w:rsid w:val="00952398"/>
    <w:rsid w:val="00952E04"/>
    <w:rsid w:val="00955390"/>
    <w:rsid w:val="00965947"/>
    <w:rsid w:val="009810A7"/>
    <w:rsid w:val="00985C89"/>
    <w:rsid w:val="00986DFB"/>
    <w:rsid w:val="00992247"/>
    <w:rsid w:val="009929FF"/>
    <w:rsid w:val="009973EA"/>
    <w:rsid w:val="009A4C94"/>
    <w:rsid w:val="009A4F1E"/>
    <w:rsid w:val="009B373D"/>
    <w:rsid w:val="009B7BAB"/>
    <w:rsid w:val="009D2788"/>
    <w:rsid w:val="009D5C3A"/>
    <w:rsid w:val="009E462B"/>
    <w:rsid w:val="009E7903"/>
    <w:rsid w:val="009F37B7"/>
    <w:rsid w:val="009F5E43"/>
    <w:rsid w:val="00A06AAF"/>
    <w:rsid w:val="00A10F02"/>
    <w:rsid w:val="00A13BCD"/>
    <w:rsid w:val="00A13C2E"/>
    <w:rsid w:val="00A14D3F"/>
    <w:rsid w:val="00A164B4"/>
    <w:rsid w:val="00A1761C"/>
    <w:rsid w:val="00A2000D"/>
    <w:rsid w:val="00A20472"/>
    <w:rsid w:val="00A26956"/>
    <w:rsid w:val="00A46291"/>
    <w:rsid w:val="00A46D53"/>
    <w:rsid w:val="00A536F4"/>
    <w:rsid w:val="00A53724"/>
    <w:rsid w:val="00A57E38"/>
    <w:rsid w:val="00A612AD"/>
    <w:rsid w:val="00A61808"/>
    <w:rsid w:val="00A625A6"/>
    <w:rsid w:val="00A636BC"/>
    <w:rsid w:val="00A67816"/>
    <w:rsid w:val="00A7175A"/>
    <w:rsid w:val="00A73129"/>
    <w:rsid w:val="00A75621"/>
    <w:rsid w:val="00A76D2B"/>
    <w:rsid w:val="00A82055"/>
    <w:rsid w:val="00A82346"/>
    <w:rsid w:val="00A83518"/>
    <w:rsid w:val="00A92BA1"/>
    <w:rsid w:val="00A942D0"/>
    <w:rsid w:val="00AA0CBC"/>
    <w:rsid w:val="00AA4273"/>
    <w:rsid w:val="00AB2108"/>
    <w:rsid w:val="00AB5A96"/>
    <w:rsid w:val="00AB717E"/>
    <w:rsid w:val="00AC0150"/>
    <w:rsid w:val="00AC136C"/>
    <w:rsid w:val="00AC1EBB"/>
    <w:rsid w:val="00AC6BC6"/>
    <w:rsid w:val="00AC6D4C"/>
    <w:rsid w:val="00AD171B"/>
    <w:rsid w:val="00AD5F64"/>
    <w:rsid w:val="00AE3797"/>
    <w:rsid w:val="00AF0641"/>
    <w:rsid w:val="00AF7AB0"/>
    <w:rsid w:val="00B05322"/>
    <w:rsid w:val="00B05A8C"/>
    <w:rsid w:val="00B150E6"/>
    <w:rsid w:val="00B152B8"/>
    <w:rsid w:val="00B15449"/>
    <w:rsid w:val="00B21FFC"/>
    <w:rsid w:val="00B231E1"/>
    <w:rsid w:val="00B2629A"/>
    <w:rsid w:val="00B31A84"/>
    <w:rsid w:val="00B35505"/>
    <w:rsid w:val="00B373F1"/>
    <w:rsid w:val="00B42A9D"/>
    <w:rsid w:val="00B4405C"/>
    <w:rsid w:val="00B464FD"/>
    <w:rsid w:val="00B51CDC"/>
    <w:rsid w:val="00B574A0"/>
    <w:rsid w:val="00B76FBB"/>
    <w:rsid w:val="00B863E2"/>
    <w:rsid w:val="00B90C16"/>
    <w:rsid w:val="00B93086"/>
    <w:rsid w:val="00BA19ED"/>
    <w:rsid w:val="00BA300B"/>
    <w:rsid w:val="00BA4B8D"/>
    <w:rsid w:val="00BB74CA"/>
    <w:rsid w:val="00BC0F7D"/>
    <w:rsid w:val="00BC44CD"/>
    <w:rsid w:val="00BC6214"/>
    <w:rsid w:val="00BC75E0"/>
    <w:rsid w:val="00BE3255"/>
    <w:rsid w:val="00BE717C"/>
    <w:rsid w:val="00BF128E"/>
    <w:rsid w:val="00BF4C3B"/>
    <w:rsid w:val="00BF6A1B"/>
    <w:rsid w:val="00C1496A"/>
    <w:rsid w:val="00C30202"/>
    <w:rsid w:val="00C33079"/>
    <w:rsid w:val="00C358C6"/>
    <w:rsid w:val="00C45231"/>
    <w:rsid w:val="00C54839"/>
    <w:rsid w:val="00C54C23"/>
    <w:rsid w:val="00C575E9"/>
    <w:rsid w:val="00C67E71"/>
    <w:rsid w:val="00C71DA1"/>
    <w:rsid w:val="00C72833"/>
    <w:rsid w:val="00C80F1D"/>
    <w:rsid w:val="00C87227"/>
    <w:rsid w:val="00C93F40"/>
    <w:rsid w:val="00C97D27"/>
    <w:rsid w:val="00CA3D0C"/>
    <w:rsid w:val="00CC4BDD"/>
    <w:rsid w:val="00CC6588"/>
    <w:rsid w:val="00CD1AC4"/>
    <w:rsid w:val="00CD3A7B"/>
    <w:rsid w:val="00CE2F48"/>
    <w:rsid w:val="00CE6DD7"/>
    <w:rsid w:val="00CF20E3"/>
    <w:rsid w:val="00CF285A"/>
    <w:rsid w:val="00CF4D0D"/>
    <w:rsid w:val="00CF65B5"/>
    <w:rsid w:val="00D03C06"/>
    <w:rsid w:val="00D0491B"/>
    <w:rsid w:val="00D22E18"/>
    <w:rsid w:val="00D309CC"/>
    <w:rsid w:val="00D463D6"/>
    <w:rsid w:val="00D46431"/>
    <w:rsid w:val="00D47964"/>
    <w:rsid w:val="00D56A52"/>
    <w:rsid w:val="00D57972"/>
    <w:rsid w:val="00D675A9"/>
    <w:rsid w:val="00D71FEB"/>
    <w:rsid w:val="00D738D6"/>
    <w:rsid w:val="00D755EB"/>
    <w:rsid w:val="00D8507E"/>
    <w:rsid w:val="00D87E00"/>
    <w:rsid w:val="00D9134D"/>
    <w:rsid w:val="00DA413D"/>
    <w:rsid w:val="00DA7A03"/>
    <w:rsid w:val="00DB0C45"/>
    <w:rsid w:val="00DB1818"/>
    <w:rsid w:val="00DB4052"/>
    <w:rsid w:val="00DB76B5"/>
    <w:rsid w:val="00DB79F7"/>
    <w:rsid w:val="00DC309B"/>
    <w:rsid w:val="00DC4DA2"/>
    <w:rsid w:val="00DD4C17"/>
    <w:rsid w:val="00DD52B7"/>
    <w:rsid w:val="00DD5B62"/>
    <w:rsid w:val="00DF0098"/>
    <w:rsid w:val="00DF2B1F"/>
    <w:rsid w:val="00DF464B"/>
    <w:rsid w:val="00DF51B9"/>
    <w:rsid w:val="00DF6189"/>
    <w:rsid w:val="00DF62CD"/>
    <w:rsid w:val="00E12A5F"/>
    <w:rsid w:val="00E16509"/>
    <w:rsid w:val="00E238DF"/>
    <w:rsid w:val="00E2413E"/>
    <w:rsid w:val="00E35BB9"/>
    <w:rsid w:val="00E44582"/>
    <w:rsid w:val="00E52814"/>
    <w:rsid w:val="00E61FCF"/>
    <w:rsid w:val="00E64596"/>
    <w:rsid w:val="00E72228"/>
    <w:rsid w:val="00E72324"/>
    <w:rsid w:val="00E72ABE"/>
    <w:rsid w:val="00E74333"/>
    <w:rsid w:val="00E7501B"/>
    <w:rsid w:val="00E77645"/>
    <w:rsid w:val="00E8245D"/>
    <w:rsid w:val="00E91B77"/>
    <w:rsid w:val="00E96D1A"/>
    <w:rsid w:val="00E97F04"/>
    <w:rsid w:val="00EA5123"/>
    <w:rsid w:val="00EC1705"/>
    <w:rsid w:val="00EC3EDB"/>
    <w:rsid w:val="00EC4847"/>
    <w:rsid w:val="00EC4A25"/>
    <w:rsid w:val="00EC4A97"/>
    <w:rsid w:val="00EC5547"/>
    <w:rsid w:val="00EC55DC"/>
    <w:rsid w:val="00EC61E5"/>
    <w:rsid w:val="00ED21B2"/>
    <w:rsid w:val="00ED2654"/>
    <w:rsid w:val="00EE0853"/>
    <w:rsid w:val="00EE5AA7"/>
    <w:rsid w:val="00EF6DBC"/>
    <w:rsid w:val="00EF70F3"/>
    <w:rsid w:val="00F025A2"/>
    <w:rsid w:val="00F04712"/>
    <w:rsid w:val="00F06F13"/>
    <w:rsid w:val="00F10C13"/>
    <w:rsid w:val="00F164A5"/>
    <w:rsid w:val="00F177D8"/>
    <w:rsid w:val="00F21311"/>
    <w:rsid w:val="00F22EC7"/>
    <w:rsid w:val="00F263A3"/>
    <w:rsid w:val="00F325C8"/>
    <w:rsid w:val="00F34351"/>
    <w:rsid w:val="00F34985"/>
    <w:rsid w:val="00F42008"/>
    <w:rsid w:val="00F44E02"/>
    <w:rsid w:val="00F62AEB"/>
    <w:rsid w:val="00F653B8"/>
    <w:rsid w:val="00F67D79"/>
    <w:rsid w:val="00F70647"/>
    <w:rsid w:val="00F73796"/>
    <w:rsid w:val="00F7495C"/>
    <w:rsid w:val="00F87D29"/>
    <w:rsid w:val="00F93272"/>
    <w:rsid w:val="00FA0FE9"/>
    <w:rsid w:val="00FA1266"/>
    <w:rsid w:val="00FC1192"/>
    <w:rsid w:val="00FC60B8"/>
    <w:rsid w:val="00FE6C90"/>
    <w:rsid w:val="00FF33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 w:type="paragraph" w:customStyle="1" w:styleId="CRCoverPage">
    <w:name w:val="CR Cover Page"/>
    <w:next w:val="Normal"/>
    <w:link w:val="CRCoverPageChar"/>
    <w:rsid w:val="000514DB"/>
    <w:pPr>
      <w:spacing w:after="120"/>
    </w:pPr>
    <w:rPr>
      <w:rFonts w:ascii="Arial" w:eastAsia="SimSun" w:hAnsi="Arial"/>
      <w:lang w:eastAsia="en-US"/>
    </w:rPr>
  </w:style>
  <w:style w:type="character" w:customStyle="1" w:styleId="CRCoverPageChar">
    <w:name w:val="CR Cover Page Char"/>
    <w:link w:val="CRCoverPage"/>
    <w:rsid w:val="000514DB"/>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798557">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06245818">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TotalTime>
  <Pages>6</Pages>
  <Words>2399</Words>
  <Characters>13676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9</cp:revision>
  <cp:lastPrinted>2019-02-25T14:05:00Z</cp:lastPrinted>
  <dcterms:created xsi:type="dcterms:W3CDTF">2022-01-07T22:09:00Z</dcterms:created>
  <dcterms:modified xsi:type="dcterms:W3CDTF">2022-01-10T21:14:00Z</dcterms:modified>
  <cp:category/>
</cp:coreProperties>
</file>